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D43D" w14:textId="59209524" w:rsidR="008801F8" w:rsidRDefault="008801F8" w:rsidP="00656CEB">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                                                                                </w:t>
      </w:r>
      <w:r w:rsidR="005A3931">
        <w:rPr>
          <w:rFonts w:ascii="Times New Roman" w:eastAsia="Times New Roman" w:hAnsi="Times New Roman" w:cs="Times New Roman"/>
          <w:b/>
          <w:bCs/>
          <w:sz w:val="24"/>
          <w:szCs w:val="24"/>
          <w:lang w:val="en" w:eastAsia="en-GB"/>
        </w:rPr>
        <w:t xml:space="preserve">                   </w:t>
      </w:r>
      <w:r w:rsidR="00E923E3">
        <w:rPr>
          <w:rFonts w:ascii="Times New Roman" w:eastAsia="Times New Roman" w:hAnsi="Times New Roman" w:cs="Times New Roman"/>
          <w:b/>
          <w:bCs/>
          <w:noProof/>
          <w:sz w:val="24"/>
          <w:szCs w:val="24"/>
          <w:lang w:val="en" w:eastAsia="en-GB"/>
        </w:rPr>
        <w:drawing>
          <wp:inline distT="0" distB="0" distL="0" distR="0" wp14:anchorId="52065B1F" wp14:editId="2BB5E7D7">
            <wp:extent cx="1623060" cy="481431"/>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 Enfield Logo fina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720" cy="488746"/>
                    </a:xfrm>
                    <a:prstGeom prst="rect">
                      <a:avLst/>
                    </a:prstGeom>
                  </pic:spPr>
                </pic:pic>
              </a:graphicData>
            </a:graphic>
          </wp:inline>
        </w:drawing>
      </w:r>
    </w:p>
    <w:p w14:paraId="17F91D89" w14:textId="2627DCE3" w:rsidR="0067632B" w:rsidRPr="00643CBE" w:rsidRDefault="00FB34BD" w:rsidP="00656CEB">
      <w:pPr>
        <w:spacing w:before="100" w:beforeAutospacing="1" w:after="100" w:afterAutospacing="1" w:line="240" w:lineRule="auto"/>
        <w:outlineLvl w:val="3"/>
        <w:rPr>
          <w:rFonts w:ascii="Trebuchet MS" w:eastAsia="Times New Roman" w:hAnsi="Trebuchet MS" w:cs="Times New Roman"/>
          <w:b/>
          <w:bCs/>
          <w:sz w:val="36"/>
          <w:szCs w:val="36"/>
          <w:lang w:val="en" w:eastAsia="en-GB"/>
        </w:rPr>
      </w:pPr>
      <w:r w:rsidRPr="00643CBE">
        <w:rPr>
          <w:rFonts w:ascii="Trebuchet MS" w:eastAsia="Times New Roman" w:hAnsi="Trebuchet MS" w:cs="Times New Roman"/>
          <w:b/>
          <w:bCs/>
          <w:sz w:val="36"/>
          <w:szCs w:val="36"/>
          <w:lang w:val="en" w:eastAsia="en-GB"/>
        </w:rPr>
        <w:t>P</w:t>
      </w:r>
      <w:r w:rsidR="00656CEB" w:rsidRPr="00643CBE">
        <w:rPr>
          <w:rFonts w:ascii="Trebuchet MS" w:eastAsia="Times New Roman" w:hAnsi="Trebuchet MS" w:cs="Times New Roman"/>
          <w:b/>
          <w:bCs/>
          <w:sz w:val="36"/>
          <w:szCs w:val="36"/>
          <w:lang w:val="en" w:eastAsia="en-GB"/>
        </w:rPr>
        <w:t xml:space="preserve">rotocol and Practice </w:t>
      </w:r>
      <w:r w:rsidR="00D63EAA" w:rsidRPr="00643CBE">
        <w:rPr>
          <w:rFonts w:ascii="Trebuchet MS" w:eastAsia="Times New Roman" w:hAnsi="Trebuchet MS" w:cs="Times New Roman"/>
          <w:b/>
          <w:bCs/>
          <w:sz w:val="36"/>
          <w:szCs w:val="36"/>
          <w:lang w:val="en" w:eastAsia="en-GB"/>
        </w:rPr>
        <w:t>Guidance for</w:t>
      </w:r>
      <w:r w:rsidR="00656CEB" w:rsidRPr="00643CBE">
        <w:rPr>
          <w:rFonts w:ascii="Trebuchet MS" w:eastAsia="Times New Roman" w:hAnsi="Trebuchet MS" w:cs="Times New Roman"/>
          <w:b/>
          <w:bCs/>
          <w:sz w:val="36"/>
          <w:szCs w:val="36"/>
          <w:lang w:val="en" w:eastAsia="en-GB"/>
        </w:rPr>
        <w:t xml:space="preserve"> </w:t>
      </w:r>
      <w:r w:rsidR="0067632B" w:rsidRPr="00643CBE">
        <w:rPr>
          <w:rFonts w:ascii="Trebuchet MS" w:eastAsia="Times New Roman" w:hAnsi="Trebuchet MS" w:cs="Times New Roman"/>
          <w:b/>
          <w:bCs/>
          <w:sz w:val="36"/>
          <w:szCs w:val="36"/>
          <w:lang w:val="en" w:eastAsia="en-GB"/>
        </w:rPr>
        <w:t>Managing Allegations</w:t>
      </w:r>
      <w:r w:rsidR="00656CEB" w:rsidRPr="00643CBE">
        <w:rPr>
          <w:rFonts w:ascii="Trebuchet MS" w:eastAsia="Times New Roman" w:hAnsi="Trebuchet MS" w:cs="Times New Roman"/>
          <w:b/>
          <w:bCs/>
          <w:sz w:val="36"/>
          <w:szCs w:val="36"/>
          <w:lang w:val="en" w:eastAsia="en-GB"/>
        </w:rPr>
        <w:t xml:space="preserve"> against People in Positions of Trust</w:t>
      </w:r>
      <w:r w:rsidR="00080BDF" w:rsidRPr="00643CBE">
        <w:rPr>
          <w:rFonts w:ascii="Trebuchet MS" w:eastAsia="Times New Roman" w:hAnsi="Trebuchet MS" w:cs="Times New Roman"/>
          <w:b/>
          <w:bCs/>
          <w:sz w:val="36"/>
          <w:szCs w:val="36"/>
          <w:lang w:val="en" w:eastAsia="en-GB"/>
        </w:rPr>
        <w:t xml:space="preserve"> who </w:t>
      </w:r>
      <w:r w:rsidR="006D3109" w:rsidRPr="00643CBE">
        <w:rPr>
          <w:rFonts w:ascii="Trebuchet MS" w:eastAsia="Times New Roman" w:hAnsi="Trebuchet MS" w:cs="Times New Roman"/>
          <w:b/>
          <w:bCs/>
          <w:sz w:val="36"/>
          <w:szCs w:val="36"/>
          <w:lang w:val="en" w:eastAsia="en-GB"/>
        </w:rPr>
        <w:t>work with Adults</w:t>
      </w:r>
      <w:r w:rsidR="00CC1DB4" w:rsidRPr="00643CBE">
        <w:rPr>
          <w:rFonts w:ascii="Trebuchet MS" w:eastAsia="Times New Roman" w:hAnsi="Trebuchet MS" w:cs="Times New Roman"/>
          <w:b/>
          <w:bCs/>
          <w:sz w:val="36"/>
          <w:szCs w:val="36"/>
          <w:lang w:val="en" w:eastAsia="en-GB"/>
        </w:rPr>
        <w:t xml:space="preserve"> who have Care and Support needs </w:t>
      </w:r>
    </w:p>
    <w:p w14:paraId="5A28D072" w14:textId="484BAB86" w:rsidR="00B47B9E" w:rsidRPr="001143DD" w:rsidRDefault="00000000" w:rsidP="001143DD">
      <w:pPr>
        <w:ind w:left="360"/>
        <w:rPr>
          <w:rFonts w:ascii="Trebuchet MS" w:hAnsi="Trebuchet MS" w:cs="Arial"/>
          <w:b/>
          <w:sz w:val="28"/>
          <w:szCs w:val="28"/>
        </w:rPr>
      </w:pPr>
      <w:sdt>
        <w:sdtPr>
          <w:rPr>
            <w:rFonts w:ascii="Trebuchet MS" w:eastAsia="Calibri" w:hAnsi="Trebuchet MS" w:cs="Calibri"/>
            <w:b/>
            <w:sz w:val="24"/>
            <w:szCs w:val="24"/>
            <w:lang w:eastAsia="en-GB" w:bidi="en-GB"/>
          </w:rPr>
          <w:alias w:val="Subtitle"/>
          <w:id w:val="1194108113"/>
          <w:placeholder>
            <w:docPart w:val="39A7D3E34DBC4DBA97B299A2D3CED081"/>
          </w:placeholder>
          <w:dataBinding w:prefixMappings="xmlns:ns0='http://schemas.openxmlformats.org/package/2006/metadata/core-properties' xmlns:ns1='http://purl.org/dc/elements/1.1/'" w:xpath="/ns0:coreProperties[1]/ns1:subject[1]" w:storeItemID="{6C3C8BC8-F283-45AE-878A-BAB7291924A1}"/>
          <w:text/>
        </w:sdtPr>
        <w:sdtContent>
          <w:r w:rsidR="002C6F90" w:rsidRPr="001143DD">
            <w:rPr>
              <w:rFonts w:ascii="Trebuchet MS" w:eastAsia="Calibri" w:hAnsi="Trebuchet MS" w:cs="Calibri"/>
              <w:b/>
              <w:sz w:val="24"/>
              <w:szCs w:val="24"/>
              <w:lang w:eastAsia="en-GB" w:bidi="en-GB"/>
            </w:rPr>
            <w:t xml:space="preserve">This document provides </w:t>
          </w:r>
          <w:r w:rsidR="0031793A" w:rsidRPr="001143DD">
            <w:rPr>
              <w:rFonts w:ascii="Trebuchet MS" w:eastAsia="Calibri" w:hAnsi="Trebuchet MS" w:cs="Calibri"/>
              <w:b/>
              <w:sz w:val="24"/>
              <w:szCs w:val="24"/>
              <w:lang w:eastAsia="en-GB" w:bidi="en-GB"/>
            </w:rPr>
            <w:t xml:space="preserve">the </w:t>
          </w:r>
          <w:r w:rsidR="00D67DC6" w:rsidRPr="001143DD">
            <w:rPr>
              <w:rFonts w:ascii="Trebuchet MS" w:eastAsia="Calibri" w:hAnsi="Trebuchet MS" w:cs="Calibri"/>
              <w:b/>
              <w:sz w:val="24"/>
              <w:szCs w:val="24"/>
              <w:lang w:eastAsia="en-GB" w:bidi="en-GB"/>
            </w:rPr>
            <w:t>Enfield Safeguarding</w:t>
          </w:r>
          <w:r w:rsidR="002C6F90" w:rsidRPr="001143DD">
            <w:rPr>
              <w:rFonts w:ascii="Trebuchet MS" w:eastAsia="Calibri" w:hAnsi="Trebuchet MS" w:cs="Calibri"/>
              <w:b/>
              <w:sz w:val="24"/>
              <w:szCs w:val="24"/>
              <w:lang w:eastAsia="en-GB" w:bidi="en-GB"/>
            </w:rPr>
            <w:t xml:space="preserve"> Adults Board </w:t>
          </w:r>
          <w:r w:rsidR="007D0C6E" w:rsidRPr="001143DD">
            <w:rPr>
              <w:rFonts w:ascii="Trebuchet MS" w:eastAsia="Calibri" w:hAnsi="Trebuchet MS" w:cs="Calibri"/>
              <w:b/>
              <w:sz w:val="24"/>
              <w:szCs w:val="24"/>
              <w:lang w:eastAsia="en-GB" w:bidi="en-GB"/>
            </w:rPr>
            <w:t>proto</w:t>
          </w:r>
          <w:r w:rsidR="00B10108" w:rsidRPr="001143DD">
            <w:rPr>
              <w:rFonts w:ascii="Trebuchet MS" w:eastAsia="Calibri" w:hAnsi="Trebuchet MS" w:cs="Calibri"/>
              <w:b/>
              <w:sz w:val="24"/>
              <w:szCs w:val="24"/>
              <w:lang w:eastAsia="en-GB" w:bidi="en-GB"/>
            </w:rPr>
            <w:t>co</w:t>
          </w:r>
          <w:r w:rsidR="007D0C6E" w:rsidRPr="001143DD">
            <w:rPr>
              <w:rFonts w:ascii="Trebuchet MS" w:eastAsia="Calibri" w:hAnsi="Trebuchet MS" w:cs="Calibri"/>
              <w:b/>
              <w:sz w:val="24"/>
              <w:szCs w:val="24"/>
              <w:lang w:eastAsia="en-GB" w:bidi="en-GB"/>
            </w:rPr>
            <w:t>l</w:t>
          </w:r>
          <w:r w:rsidR="002C6F90" w:rsidRPr="001143DD">
            <w:rPr>
              <w:rFonts w:ascii="Trebuchet MS" w:eastAsia="Calibri" w:hAnsi="Trebuchet MS" w:cs="Calibri"/>
              <w:b/>
              <w:sz w:val="24"/>
              <w:szCs w:val="24"/>
              <w:lang w:eastAsia="en-GB" w:bidi="en-GB"/>
            </w:rPr>
            <w:t xml:space="preserve"> </w:t>
          </w:r>
          <w:r w:rsidR="00D67DC6" w:rsidRPr="001143DD">
            <w:rPr>
              <w:rFonts w:ascii="Trebuchet MS" w:eastAsia="Calibri" w:hAnsi="Trebuchet MS" w:cs="Calibri"/>
              <w:b/>
              <w:sz w:val="24"/>
              <w:szCs w:val="24"/>
              <w:lang w:eastAsia="en-GB" w:bidi="en-GB"/>
            </w:rPr>
            <w:t>and practice</w:t>
          </w:r>
          <w:r w:rsidR="007D0C6E" w:rsidRPr="001143DD">
            <w:rPr>
              <w:rFonts w:ascii="Trebuchet MS" w:eastAsia="Calibri" w:hAnsi="Trebuchet MS" w:cs="Calibri"/>
              <w:b/>
              <w:sz w:val="24"/>
              <w:szCs w:val="24"/>
              <w:lang w:eastAsia="en-GB" w:bidi="en-GB"/>
            </w:rPr>
            <w:t xml:space="preserve"> guides</w:t>
          </w:r>
          <w:r w:rsidR="00B10108" w:rsidRPr="001143DD">
            <w:rPr>
              <w:rFonts w:ascii="Trebuchet MS" w:eastAsia="Calibri" w:hAnsi="Trebuchet MS" w:cs="Calibri"/>
              <w:b/>
              <w:sz w:val="24"/>
              <w:szCs w:val="24"/>
              <w:lang w:eastAsia="en-GB" w:bidi="en-GB"/>
            </w:rPr>
            <w:t xml:space="preserve"> </w:t>
          </w:r>
          <w:r w:rsidR="002C6F90" w:rsidRPr="001143DD">
            <w:rPr>
              <w:rFonts w:ascii="Trebuchet MS" w:eastAsia="Calibri" w:hAnsi="Trebuchet MS" w:cs="Calibri"/>
              <w:b/>
              <w:sz w:val="24"/>
              <w:szCs w:val="24"/>
              <w:lang w:eastAsia="en-GB" w:bidi="en-GB"/>
            </w:rPr>
            <w:t>for the approach and process to</w:t>
          </w:r>
          <w:r w:rsidR="00AA51AC" w:rsidRPr="001143DD">
            <w:rPr>
              <w:rFonts w:ascii="Trebuchet MS" w:eastAsia="Calibri" w:hAnsi="Trebuchet MS" w:cs="Calibri"/>
              <w:b/>
              <w:sz w:val="24"/>
              <w:szCs w:val="24"/>
              <w:lang w:eastAsia="en-GB" w:bidi="en-GB"/>
            </w:rPr>
            <w:t xml:space="preserve"> </w:t>
          </w:r>
          <w:r w:rsidR="00D67DC6" w:rsidRPr="001143DD">
            <w:rPr>
              <w:rFonts w:ascii="Trebuchet MS" w:eastAsia="Calibri" w:hAnsi="Trebuchet MS" w:cs="Calibri"/>
              <w:b/>
              <w:sz w:val="24"/>
              <w:szCs w:val="24"/>
              <w:lang w:eastAsia="en-GB" w:bidi="en-GB"/>
            </w:rPr>
            <w:t>be followed</w:t>
          </w:r>
          <w:r w:rsidR="002C6F90" w:rsidRPr="001143DD">
            <w:rPr>
              <w:rFonts w:ascii="Trebuchet MS" w:eastAsia="Calibri" w:hAnsi="Trebuchet MS" w:cs="Calibri"/>
              <w:b/>
              <w:sz w:val="24"/>
              <w:szCs w:val="24"/>
              <w:lang w:eastAsia="en-GB" w:bidi="en-GB"/>
            </w:rPr>
            <w:t xml:space="preserve"> when responding to allegations relating to people who work in a Position of Trust with adults who have care and support </w:t>
          </w:r>
          <w:r w:rsidR="00D67DC6" w:rsidRPr="001143DD">
            <w:rPr>
              <w:rFonts w:ascii="Trebuchet MS" w:eastAsia="Calibri" w:hAnsi="Trebuchet MS" w:cs="Calibri"/>
              <w:b/>
              <w:sz w:val="24"/>
              <w:szCs w:val="24"/>
              <w:lang w:eastAsia="en-GB" w:bidi="en-GB"/>
            </w:rPr>
            <w:t>needs</w:t>
          </w:r>
          <w:r w:rsidR="00C555AA">
            <w:rPr>
              <w:rFonts w:ascii="Trebuchet MS" w:eastAsia="Calibri" w:hAnsi="Trebuchet MS" w:cs="Calibri"/>
              <w:b/>
              <w:sz w:val="24"/>
              <w:szCs w:val="24"/>
              <w:lang w:eastAsia="en-GB" w:bidi="en-GB"/>
            </w:rPr>
            <w:t>. This protocol relates to</w:t>
          </w:r>
          <w:r w:rsidR="00801A22" w:rsidRPr="001143DD">
            <w:rPr>
              <w:rFonts w:ascii="Trebuchet MS" w:eastAsia="Calibri" w:hAnsi="Trebuchet MS" w:cs="Calibri"/>
              <w:b/>
              <w:sz w:val="24"/>
              <w:szCs w:val="24"/>
              <w:lang w:eastAsia="en-GB" w:bidi="en-GB"/>
            </w:rPr>
            <w:t xml:space="preserve"> the requirements </w:t>
          </w:r>
          <w:r w:rsidR="00887295" w:rsidRPr="001143DD">
            <w:rPr>
              <w:rFonts w:ascii="Trebuchet MS" w:eastAsia="Calibri" w:hAnsi="Trebuchet MS" w:cs="Calibri"/>
              <w:b/>
              <w:sz w:val="24"/>
              <w:szCs w:val="24"/>
              <w:lang w:eastAsia="en-GB" w:bidi="en-GB"/>
            </w:rPr>
            <w:t>of section</w:t>
          </w:r>
          <w:r w:rsidR="001A1BEC" w:rsidRPr="001143DD">
            <w:rPr>
              <w:rFonts w:ascii="Trebuchet MS" w:eastAsia="Calibri" w:hAnsi="Trebuchet MS" w:cs="Calibri"/>
              <w:b/>
              <w:sz w:val="24"/>
              <w:szCs w:val="24"/>
              <w:lang w:eastAsia="en-GB" w:bidi="en-GB"/>
            </w:rPr>
            <w:t xml:space="preserve"> </w:t>
          </w:r>
          <w:r w:rsidR="002D14AF" w:rsidRPr="001143DD">
            <w:rPr>
              <w:rFonts w:ascii="Trebuchet MS" w:eastAsia="Calibri" w:hAnsi="Trebuchet MS" w:cs="Calibri"/>
              <w:b/>
              <w:sz w:val="24"/>
              <w:szCs w:val="24"/>
              <w:lang w:eastAsia="en-GB" w:bidi="en-GB"/>
            </w:rPr>
            <w:t>14 of</w:t>
          </w:r>
          <w:r w:rsidR="001A1BEC" w:rsidRPr="001143DD">
            <w:rPr>
              <w:rFonts w:ascii="Trebuchet MS" w:eastAsia="Calibri" w:hAnsi="Trebuchet MS" w:cs="Calibri"/>
              <w:b/>
              <w:sz w:val="24"/>
              <w:szCs w:val="24"/>
              <w:lang w:eastAsia="en-GB" w:bidi="en-GB"/>
            </w:rPr>
            <w:t xml:space="preserve"> the Care and Support</w:t>
          </w:r>
          <w:r w:rsidR="004D7DEC" w:rsidRPr="001143DD">
            <w:rPr>
              <w:rFonts w:ascii="Trebuchet MS" w:eastAsia="Calibri" w:hAnsi="Trebuchet MS" w:cs="Calibri"/>
              <w:b/>
              <w:sz w:val="24"/>
              <w:szCs w:val="24"/>
              <w:lang w:eastAsia="en-GB" w:bidi="en-GB"/>
            </w:rPr>
            <w:t xml:space="preserve"> Statutory Guidance of </w:t>
          </w:r>
          <w:r w:rsidR="0061580C" w:rsidRPr="001143DD">
            <w:rPr>
              <w:rFonts w:ascii="Trebuchet MS" w:eastAsia="Calibri" w:hAnsi="Trebuchet MS" w:cs="Calibri"/>
              <w:b/>
              <w:sz w:val="24"/>
              <w:szCs w:val="24"/>
              <w:lang w:eastAsia="en-GB" w:bidi="en-GB"/>
            </w:rPr>
            <w:t>the Care</w:t>
          </w:r>
          <w:r w:rsidR="004D7DEC" w:rsidRPr="001143DD">
            <w:rPr>
              <w:rFonts w:ascii="Trebuchet MS" w:eastAsia="Calibri" w:hAnsi="Trebuchet MS" w:cs="Calibri"/>
              <w:b/>
              <w:sz w:val="24"/>
              <w:szCs w:val="24"/>
              <w:lang w:eastAsia="en-GB" w:bidi="en-GB"/>
            </w:rPr>
            <w:t xml:space="preserve"> Act </w:t>
          </w:r>
          <w:r w:rsidR="00233B52" w:rsidRPr="001143DD">
            <w:rPr>
              <w:rFonts w:ascii="Trebuchet MS" w:eastAsia="Calibri" w:hAnsi="Trebuchet MS" w:cs="Calibri"/>
              <w:b/>
              <w:sz w:val="24"/>
              <w:szCs w:val="24"/>
              <w:lang w:eastAsia="en-GB" w:bidi="en-GB"/>
            </w:rPr>
            <w:t>2014</w:t>
          </w:r>
          <w:r w:rsidR="0031793A">
            <w:rPr>
              <w:rFonts w:ascii="Trebuchet MS" w:eastAsia="Calibri" w:hAnsi="Trebuchet MS" w:cs="Calibri"/>
              <w:b/>
              <w:sz w:val="24"/>
              <w:szCs w:val="24"/>
              <w:lang w:eastAsia="en-GB" w:bidi="en-GB"/>
            </w:rPr>
            <w:t>.</w:t>
          </w:r>
        </w:sdtContent>
      </w:sdt>
    </w:p>
    <w:p w14:paraId="0245249E" w14:textId="0F3A06EB" w:rsidR="00313760" w:rsidRPr="00F618FF" w:rsidRDefault="00313760" w:rsidP="00313760">
      <w:pPr>
        <w:rPr>
          <w:rFonts w:ascii="Trebuchet MS" w:hAnsi="Trebuchet MS"/>
          <w:sz w:val="28"/>
          <w:szCs w:val="28"/>
        </w:rPr>
      </w:pPr>
      <w:r w:rsidRPr="00F618FF">
        <w:t xml:space="preserve"> </w:t>
      </w:r>
      <w:r w:rsidRPr="00643CBE">
        <w:rPr>
          <w:rFonts w:ascii="Trebuchet MS" w:hAnsi="Trebuchet MS"/>
          <w:sz w:val="32"/>
          <w:szCs w:val="32"/>
        </w:rPr>
        <w:t>Document Control</w:t>
      </w:r>
      <w:r w:rsidRPr="00F618FF">
        <w:rPr>
          <w:rFonts w:ascii="Trebuchet MS" w:hAnsi="Trebuchet MS"/>
          <w:sz w:val="28"/>
          <w:szCs w:val="28"/>
        </w:rPr>
        <w:t>:</w:t>
      </w:r>
    </w:p>
    <w:tbl>
      <w:tblPr>
        <w:tblStyle w:val="TableGrid"/>
        <w:tblW w:w="0" w:type="auto"/>
        <w:tblInd w:w="-5" w:type="dxa"/>
        <w:tblLook w:val="04A0" w:firstRow="1" w:lastRow="0" w:firstColumn="1" w:lastColumn="0" w:noHBand="0" w:noVBand="1"/>
      </w:tblPr>
      <w:tblGrid>
        <w:gridCol w:w="2977"/>
        <w:gridCol w:w="6044"/>
      </w:tblGrid>
      <w:tr w:rsidR="00313760" w14:paraId="5D338A06" w14:textId="77777777" w:rsidTr="002B31AA">
        <w:trPr>
          <w:trHeight w:val="770"/>
        </w:trPr>
        <w:tc>
          <w:tcPr>
            <w:tcW w:w="2977" w:type="dxa"/>
            <w:shd w:val="clear" w:color="auto" w:fill="BFBFBF" w:themeFill="background1" w:themeFillShade="BF"/>
          </w:tcPr>
          <w:p w14:paraId="319A8523" w14:textId="77777777" w:rsidR="00313760" w:rsidRPr="002E52B9" w:rsidRDefault="00313760" w:rsidP="003D0216">
            <w:pPr>
              <w:pStyle w:val="ListParagraph"/>
              <w:ind w:left="0"/>
              <w:rPr>
                <w:rFonts w:ascii="Trebuchet MS" w:hAnsi="Trebuchet MS"/>
                <w:b/>
                <w:sz w:val="24"/>
                <w:szCs w:val="24"/>
              </w:rPr>
            </w:pPr>
            <w:r w:rsidRPr="002E52B9">
              <w:rPr>
                <w:rFonts w:ascii="Trebuchet MS" w:hAnsi="Trebuchet MS"/>
                <w:b/>
                <w:sz w:val="24"/>
                <w:szCs w:val="24"/>
              </w:rPr>
              <w:t>Title:</w:t>
            </w:r>
          </w:p>
        </w:tc>
        <w:tc>
          <w:tcPr>
            <w:tcW w:w="6044" w:type="dxa"/>
          </w:tcPr>
          <w:p w14:paraId="0FF24AFD" w14:textId="77777777" w:rsidR="00313760" w:rsidRDefault="00313760" w:rsidP="003D0216">
            <w:pPr>
              <w:spacing w:before="100" w:beforeAutospacing="1" w:after="100" w:afterAutospacing="1"/>
              <w:outlineLvl w:val="3"/>
              <w:rPr>
                <w:rFonts w:ascii="Trebuchet MS" w:hAnsi="Trebuchet MS"/>
                <w:sz w:val="28"/>
                <w:szCs w:val="28"/>
              </w:rPr>
            </w:pPr>
            <w:r w:rsidRPr="002E52B9">
              <w:rPr>
                <w:rFonts w:ascii="Trebuchet MS" w:eastAsia="Times New Roman" w:hAnsi="Trebuchet MS" w:cs="Times New Roman"/>
                <w:bCs/>
                <w:sz w:val="24"/>
                <w:szCs w:val="24"/>
                <w:lang w:val="en" w:eastAsia="en-GB"/>
              </w:rPr>
              <w:t xml:space="preserve">Protocol and Practice Guidance for Managing Allegations against People in Positions of Trust who work with Adults who have Care and Support needs </w:t>
            </w:r>
          </w:p>
        </w:tc>
      </w:tr>
      <w:tr w:rsidR="00313760" w14:paraId="5AA18D53" w14:textId="77777777" w:rsidTr="002B31AA">
        <w:tc>
          <w:tcPr>
            <w:tcW w:w="2977" w:type="dxa"/>
            <w:shd w:val="clear" w:color="auto" w:fill="BFBFBF" w:themeFill="background1" w:themeFillShade="BF"/>
          </w:tcPr>
          <w:p w14:paraId="1D42F846" w14:textId="77777777" w:rsidR="00313760" w:rsidRPr="002E52B9" w:rsidRDefault="00313760" w:rsidP="003D0216">
            <w:pPr>
              <w:pStyle w:val="ListParagraph"/>
              <w:ind w:left="0"/>
              <w:rPr>
                <w:rFonts w:ascii="Trebuchet MS" w:hAnsi="Trebuchet MS"/>
                <w:b/>
                <w:sz w:val="24"/>
                <w:szCs w:val="24"/>
              </w:rPr>
            </w:pPr>
            <w:r w:rsidRPr="002E52B9">
              <w:rPr>
                <w:rFonts w:ascii="Trebuchet MS" w:hAnsi="Trebuchet MS"/>
                <w:b/>
                <w:sz w:val="24"/>
                <w:szCs w:val="24"/>
              </w:rPr>
              <w:t>Responsible officer:</w:t>
            </w:r>
          </w:p>
        </w:tc>
        <w:tc>
          <w:tcPr>
            <w:tcW w:w="6044" w:type="dxa"/>
          </w:tcPr>
          <w:p w14:paraId="2D3B6514" w14:textId="77777777" w:rsidR="00313760" w:rsidRPr="002E52B9" w:rsidRDefault="00313760" w:rsidP="003D0216">
            <w:pPr>
              <w:pStyle w:val="ListParagraph"/>
              <w:ind w:left="0"/>
              <w:rPr>
                <w:rFonts w:ascii="Trebuchet MS" w:hAnsi="Trebuchet MS"/>
                <w:sz w:val="24"/>
                <w:szCs w:val="24"/>
              </w:rPr>
            </w:pPr>
            <w:r w:rsidRPr="002E52B9">
              <w:rPr>
                <w:rFonts w:ascii="Trebuchet MS" w:hAnsi="Trebuchet MS"/>
                <w:sz w:val="24"/>
                <w:szCs w:val="24"/>
              </w:rPr>
              <w:t>Sharon Burgess,</w:t>
            </w:r>
            <w:r>
              <w:rPr>
                <w:rFonts w:ascii="Trebuchet MS" w:hAnsi="Trebuchet MS"/>
                <w:sz w:val="24"/>
                <w:szCs w:val="24"/>
              </w:rPr>
              <w:t xml:space="preserve"> Head of Safeguarding Adults and Quality, </w:t>
            </w:r>
          </w:p>
        </w:tc>
      </w:tr>
      <w:tr w:rsidR="00313760" w14:paraId="754C7ED9" w14:textId="77777777" w:rsidTr="002B31AA">
        <w:tc>
          <w:tcPr>
            <w:tcW w:w="2977" w:type="dxa"/>
            <w:shd w:val="clear" w:color="auto" w:fill="BFBFBF" w:themeFill="background1" w:themeFillShade="BF"/>
          </w:tcPr>
          <w:p w14:paraId="02B799EC" w14:textId="77777777" w:rsidR="00313760" w:rsidRPr="002E52B9" w:rsidRDefault="00313760" w:rsidP="003D0216">
            <w:pPr>
              <w:pStyle w:val="ListParagraph"/>
              <w:ind w:left="0"/>
              <w:rPr>
                <w:rFonts w:ascii="Trebuchet MS" w:hAnsi="Trebuchet MS"/>
                <w:b/>
                <w:sz w:val="24"/>
                <w:szCs w:val="24"/>
              </w:rPr>
            </w:pPr>
            <w:r w:rsidRPr="002E52B9">
              <w:rPr>
                <w:rFonts w:ascii="Trebuchet MS" w:hAnsi="Trebuchet MS"/>
                <w:b/>
                <w:sz w:val="24"/>
                <w:szCs w:val="24"/>
              </w:rPr>
              <w:t xml:space="preserve">Ratified By: </w:t>
            </w:r>
          </w:p>
        </w:tc>
        <w:tc>
          <w:tcPr>
            <w:tcW w:w="6044" w:type="dxa"/>
          </w:tcPr>
          <w:p w14:paraId="5898B45F" w14:textId="77777777" w:rsidR="00313760" w:rsidRDefault="00313760" w:rsidP="003D0216">
            <w:pPr>
              <w:pStyle w:val="ListParagraph"/>
              <w:ind w:left="0"/>
              <w:rPr>
                <w:rFonts w:ascii="Trebuchet MS" w:hAnsi="Trebuchet MS"/>
                <w:sz w:val="28"/>
                <w:szCs w:val="28"/>
              </w:rPr>
            </w:pPr>
          </w:p>
        </w:tc>
      </w:tr>
      <w:tr w:rsidR="00313760" w14:paraId="74C697D3" w14:textId="77777777" w:rsidTr="002B31AA">
        <w:tc>
          <w:tcPr>
            <w:tcW w:w="2977" w:type="dxa"/>
            <w:shd w:val="clear" w:color="auto" w:fill="BFBFBF" w:themeFill="background1" w:themeFillShade="BF"/>
          </w:tcPr>
          <w:p w14:paraId="12AB2F9D" w14:textId="77777777" w:rsidR="00313760" w:rsidRPr="002E52B9" w:rsidRDefault="00313760" w:rsidP="003D0216">
            <w:pPr>
              <w:pStyle w:val="ListParagraph"/>
              <w:ind w:left="0"/>
              <w:rPr>
                <w:rFonts w:ascii="Trebuchet MS" w:hAnsi="Trebuchet MS"/>
                <w:b/>
                <w:sz w:val="24"/>
                <w:szCs w:val="24"/>
              </w:rPr>
            </w:pPr>
            <w:r w:rsidRPr="002E52B9">
              <w:rPr>
                <w:rFonts w:ascii="Trebuchet MS" w:hAnsi="Trebuchet MS"/>
                <w:b/>
                <w:sz w:val="24"/>
                <w:szCs w:val="24"/>
              </w:rPr>
              <w:t>Ratification Date</w:t>
            </w:r>
            <w:r>
              <w:rPr>
                <w:rFonts w:ascii="Trebuchet MS" w:hAnsi="Trebuchet MS"/>
                <w:b/>
                <w:sz w:val="24"/>
                <w:szCs w:val="24"/>
              </w:rPr>
              <w:t>:</w:t>
            </w:r>
            <w:r w:rsidRPr="002E52B9">
              <w:rPr>
                <w:rFonts w:ascii="Trebuchet MS" w:hAnsi="Trebuchet MS"/>
                <w:b/>
                <w:sz w:val="24"/>
                <w:szCs w:val="24"/>
              </w:rPr>
              <w:t xml:space="preserve"> </w:t>
            </w:r>
          </w:p>
        </w:tc>
        <w:tc>
          <w:tcPr>
            <w:tcW w:w="6044" w:type="dxa"/>
          </w:tcPr>
          <w:p w14:paraId="4C4E5959" w14:textId="77777777" w:rsidR="00313760" w:rsidRDefault="00313760" w:rsidP="003D0216">
            <w:pPr>
              <w:pStyle w:val="ListParagraph"/>
              <w:ind w:left="0"/>
              <w:rPr>
                <w:rFonts w:ascii="Trebuchet MS" w:hAnsi="Trebuchet MS"/>
                <w:sz w:val="28"/>
                <w:szCs w:val="28"/>
              </w:rPr>
            </w:pPr>
          </w:p>
        </w:tc>
      </w:tr>
      <w:tr w:rsidR="00313760" w14:paraId="3E9917D2" w14:textId="77777777" w:rsidTr="002B31AA">
        <w:tc>
          <w:tcPr>
            <w:tcW w:w="2977" w:type="dxa"/>
            <w:shd w:val="clear" w:color="auto" w:fill="BFBFBF" w:themeFill="background1" w:themeFillShade="BF"/>
          </w:tcPr>
          <w:p w14:paraId="01BB7A75" w14:textId="77777777" w:rsidR="00313760" w:rsidRPr="00F041A4" w:rsidRDefault="00313760" w:rsidP="003D0216">
            <w:pPr>
              <w:pStyle w:val="ListParagraph"/>
              <w:ind w:left="0"/>
              <w:rPr>
                <w:rFonts w:ascii="Trebuchet MS" w:hAnsi="Trebuchet MS"/>
                <w:b/>
                <w:sz w:val="24"/>
                <w:szCs w:val="24"/>
              </w:rPr>
            </w:pPr>
            <w:r w:rsidRPr="00F041A4">
              <w:rPr>
                <w:rFonts w:ascii="Trebuchet MS" w:hAnsi="Trebuchet MS"/>
                <w:b/>
                <w:sz w:val="24"/>
                <w:szCs w:val="24"/>
              </w:rPr>
              <w:t>Implementation date</w:t>
            </w:r>
            <w:r>
              <w:rPr>
                <w:rFonts w:ascii="Trebuchet MS" w:hAnsi="Trebuchet MS"/>
                <w:b/>
                <w:sz w:val="24"/>
                <w:szCs w:val="24"/>
              </w:rPr>
              <w:t>:</w:t>
            </w:r>
          </w:p>
        </w:tc>
        <w:tc>
          <w:tcPr>
            <w:tcW w:w="6044" w:type="dxa"/>
          </w:tcPr>
          <w:p w14:paraId="10559746" w14:textId="77777777" w:rsidR="00313760" w:rsidRDefault="00313760" w:rsidP="003D0216">
            <w:pPr>
              <w:pStyle w:val="ListParagraph"/>
              <w:ind w:left="0"/>
              <w:rPr>
                <w:rFonts w:ascii="Trebuchet MS" w:hAnsi="Trebuchet MS"/>
                <w:sz w:val="28"/>
                <w:szCs w:val="28"/>
              </w:rPr>
            </w:pPr>
          </w:p>
        </w:tc>
      </w:tr>
      <w:tr w:rsidR="00313760" w14:paraId="1B8683CF" w14:textId="77777777" w:rsidTr="002B31AA">
        <w:tc>
          <w:tcPr>
            <w:tcW w:w="2977" w:type="dxa"/>
            <w:shd w:val="clear" w:color="auto" w:fill="BFBFBF" w:themeFill="background1" w:themeFillShade="BF"/>
          </w:tcPr>
          <w:p w14:paraId="1233B765" w14:textId="77777777" w:rsidR="00313760" w:rsidRPr="00B24D46" w:rsidRDefault="00313760" w:rsidP="003D0216">
            <w:pPr>
              <w:pStyle w:val="ListParagraph"/>
              <w:ind w:left="0"/>
              <w:rPr>
                <w:rFonts w:ascii="Trebuchet MS" w:hAnsi="Trebuchet MS"/>
                <w:b/>
                <w:sz w:val="24"/>
                <w:szCs w:val="24"/>
              </w:rPr>
            </w:pPr>
            <w:r w:rsidRPr="00B24D46">
              <w:rPr>
                <w:rFonts w:ascii="Trebuchet MS" w:hAnsi="Trebuchet MS"/>
                <w:b/>
                <w:sz w:val="24"/>
                <w:szCs w:val="24"/>
              </w:rPr>
              <w:t>Review period:</w:t>
            </w:r>
          </w:p>
        </w:tc>
        <w:tc>
          <w:tcPr>
            <w:tcW w:w="6044" w:type="dxa"/>
          </w:tcPr>
          <w:p w14:paraId="650F6AF1" w14:textId="77777777" w:rsidR="00313760" w:rsidRPr="007F66FC" w:rsidRDefault="00313760" w:rsidP="003D0216">
            <w:pPr>
              <w:pStyle w:val="ListParagraph"/>
              <w:ind w:left="0"/>
              <w:rPr>
                <w:rFonts w:ascii="Trebuchet MS" w:hAnsi="Trebuchet MS"/>
                <w:sz w:val="24"/>
                <w:szCs w:val="24"/>
              </w:rPr>
            </w:pPr>
            <w:r w:rsidRPr="007F66FC">
              <w:rPr>
                <w:rFonts w:ascii="Trebuchet MS" w:hAnsi="Trebuchet MS"/>
                <w:sz w:val="24"/>
                <w:szCs w:val="24"/>
              </w:rPr>
              <w:t xml:space="preserve">Every two years </w:t>
            </w:r>
          </w:p>
        </w:tc>
      </w:tr>
      <w:tr w:rsidR="00313760" w14:paraId="767F46BC" w14:textId="77777777" w:rsidTr="002B31AA">
        <w:tc>
          <w:tcPr>
            <w:tcW w:w="2977" w:type="dxa"/>
            <w:shd w:val="clear" w:color="auto" w:fill="BFBFBF" w:themeFill="background1" w:themeFillShade="BF"/>
          </w:tcPr>
          <w:p w14:paraId="127B5107" w14:textId="77777777" w:rsidR="00313760" w:rsidRPr="009530AC" w:rsidRDefault="00313760" w:rsidP="003D0216">
            <w:pPr>
              <w:pStyle w:val="ListParagraph"/>
              <w:ind w:left="0"/>
              <w:rPr>
                <w:rFonts w:ascii="Trebuchet MS" w:hAnsi="Trebuchet MS"/>
                <w:b/>
              </w:rPr>
            </w:pPr>
            <w:r w:rsidRPr="009530AC">
              <w:rPr>
                <w:rFonts w:ascii="Trebuchet MS" w:hAnsi="Trebuchet MS"/>
                <w:b/>
              </w:rPr>
              <w:t>Review date:</w:t>
            </w:r>
          </w:p>
        </w:tc>
        <w:tc>
          <w:tcPr>
            <w:tcW w:w="6044" w:type="dxa"/>
          </w:tcPr>
          <w:p w14:paraId="1FE02F32" w14:textId="77777777" w:rsidR="00313760" w:rsidRDefault="00313760" w:rsidP="003D0216">
            <w:pPr>
              <w:pStyle w:val="ListParagraph"/>
              <w:ind w:left="0"/>
              <w:rPr>
                <w:rFonts w:ascii="Trebuchet MS" w:hAnsi="Trebuchet MS"/>
                <w:sz w:val="28"/>
                <w:szCs w:val="28"/>
              </w:rPr>
            </w:pPr>
          </w:p>
        </w:tc>
      </w:tr>
      <w:tr w:rsidR="00313760" w14:paraId="33D43839" w14:textId="77777777" w:rsidTr="002B31AA">
        <w:tc>
          <w:tcPr>
            <w:tcW w:w="2977" w:type="dxa"/>
            <w:shd w:val="clear" w:color="auto" w:fill="BFBFBF" w:themeFill="background1" w:themeFillShade="BF"/>
          </w:tcPr>
          <w:p w14:paraId="0BC995A2" w14:textId="77777777" w:rsidR="00313760" w:rsidRPr="00C1270E" w:rsidRDefault="00313760" w:rsidP="003D0216">
            <w:pPr>
              <w:pStyle w:val="ListParagraph"/>
              <w:ind w:left="0"/>
              <w:rPr>
                <w:rFonts w:ascii="Trebuchet MS" w:hAnsi="Trebuchet MS"/>
                <w:b/>
                <w:sz w:val="24"/>
                <w:szCs w:val="24"/>
              </w:rPr>
            </w:pPr>
            <w:r w:rsidRPr="00C1270E">
              <w:rPr>
                <w:rFonts w:ascii="Trebuchet MS" w:hAnsi="Trebuchet MS"/>
                <w:b/>
                <w:sz w:val="24"/>
                <w:szCs w:val="24"/>
              </w:rPr>
              <w:t>Version Updates</w:t>
            </w:r>
            <w:r>
              <w:rPr>
                <w:rFonts w:ascii="Trebuchet MS" w:hAnsi="Trebuchet MS"/>
                <w:b/>
                <w:sz w:val="24"/>
                <w:szCs w:val="24"/>
              </w:rPr>
              <w:t>:</w:t>
            </w:r>
          </w:p>
        </w:tc>
        <w:tc>
          <w:tcPr>
            <w:tcW w:w="6044" w:type="dxa"/>
          </w:tcPr>
          <w:p w14:paraId="4F7E1ABA" w14:textId="54694F31" w:rsidR="00313760" w:rsidRPr="005909CA" w:rsidRDefault="001F1458" w:rsidP="003D0216">
            <w:pPr>
              <w:pStyle w:val="ListParagraph"/>
              <w:ind w:left="0"/>
              <w:rPr>
                <w:rFonts w:ascii="Trebuchet MS" w:hAnsi="Trebuchet MS"/>
                <w:sz w:val="24"/>
                <w:szCs w:val="24"/>
              </w:rPr>
            </w:pPr>
            <w:r>
              <w:rPr>
                <w:rFonts w:ascii="Trebuchet MS" w:hAnsi="Trebuchet MS"/>
                <w:sz w:val="24"/>
                <w:szCs w:val="24"/>
              </w:rPr>
              <w:t>V</w:t>
            </w:r>
            <w:r w:rsidR="004C27C7">
              <w:rPr>
                <w:rFonts w:ascii="Trebuchet MS" w:hAnsi="Trebuchet MS"/>
                <w:sz w:val="24"/>
                <w:szCs w:val="24"/>
              </w:rPr>
              <w:t>3.</w:t>
            </w:r>
            <w:r>
              <w:rPr>
                <w:rFonts w:ascii="Trebuchet MS" w:hAnsi="Trebuchet MS"/>
                <w:sz w:val="24"/>
                <w:szCs w:val="24"/>
              </w:rPr>
              <w:t xml:space="preserve">0 – </w:t>
            </w:r>
            <w:r w:rsidR="004C27C7">
              <w:rPr>
                <w:rFonts w:ascii="Trebuchet MS" w:hAnsi="Trebuchet MS"/>
                <w:sz w:val="24"/>
                <w:szCs w:val="24"/>
              </w:rPr>
              <w:t>November</w:t>
            </w:r>
            <w:r>
              <w:rPr>
                <w:rFonts w:ascii="Trebuchet MS" w:hAnsi="Trebuchet MS"/>
                <w:sz w:val="24"/>
                <w:szCs w:val="24"/>
              </w:rPr>
              <w:t xml:space="preserve"> 2019</w:t>
            </w:r>
          </w:p>
        </w:tc>
      </w:tr>
      <w:tr w:rsidR="00313760" w14:paraId="02C0AF54" w14:textId="77777777" w:rsidTr="002B31AA">
        <w:tc>
          <w:tcPr>
            <w:tcW w:w="2977" w:type="dxa"/>
            <w:shd w:val="clear" w:color="auto" w:fill="BFBFBF" w:themeFill="background1" w:themeFillShade="BF"/>
          </w:tcPr>
          <w:p w14:paraId="6F7DB6B3" w14:textId="77777777" w:rsidR="00313760" w:rsidRPr="005909CA" w:rsidRDefault="00313760" w:rsidP="003D0216">
            <w:pPr>
              <w:pStyle w:val="ListParagraph"/>
              <w:ind w:left="0"/>
              <w:rPr>
                <w:rFonts w:ascii="Trebuchet MS" w:hAnsi="Trebuchet MS"/>
                <w:b/>
                <w:sz w:val="24"/>
                <w:szCs w:val="24"/>
              </w:rPr>
            </w:pPr>
            <w:r w:rsidRPr="005909CA">
              <w:rPr>
                <w:rFonts w:ascii="Trebuchet MS" w:hAnsi="Trebuchet MS"/>
                <w:b/>
                <w:sz w:val="24"/>
                <w:szCs w:val="24"/>
              </w:rPr>
              <w:t>Governance:</w:t>
            </w:r>
          </w:p>
        </w:tc>
        <w:tc>
          <w:tcPr>
            <w:tcW w:w="6044" w:type="dxa"/>
          </w:tcPr>
          <w:p w14:paraId="44D6E29E" w14:textId="4873B2E1" w:rsidR="00313760" w:rsidRPr="005909CA" w:rsidRDefault="00313760" w:rsidP="003D0216">
            <w:pPr>
              <w:pStyle w:val="ListParagraph"/>
              <w:ind w:left="0"/>
              <w:rPr>
                <w:rFonts w:ascii="Trebuchet MS" w:hAnsi="Trebuchet MS"/>
                <w:sz w:val="24"/>
                <w:szCs w:val="24"/>
              </w:rPr>
            </w:pPr>
            <w:r w:rsidRPr="005909CA">
              <w:rPr>
                <w:rFonts w:ascii="Trebuchet MS" w:hAnsi="Trebuchet MS"/>
                <w:sz w:val="24"/>
                <w:szCs w:val="24"/>
              </w:rPr>
              <w:t xml:space="preserve">Enfield Safeguarding </w:t>
            </w:r>
            <w:r w:rsidR="00DC29F5">
              <w:rPr>
                <w:rFonts w:ascii="Trebuchet MS" w:hAnsi="Trebuchet MS"/>
                <w:sz w:val="24"/>
                <w:szCs w:val="24"/>
              </w:rPr>
              <w:t>A</w:t>
            </w:r>
            <w:r w:rsidRPr="005909CA">
              <w:rPr>
                <w:rFonts w:ascii="Trebuchet MS" w:hAnsi="Trebuchet MS"/>
                <w:sz w:val="24"/>
                <w:szCs w:val="24"/>
              </w:rPr>
              <w:t xml:space="preserve">dults Board </w:t>
            </w:r>
          </w:p>
        </w:tc>
      </w:tr>
    </w:tbl>
    <w:p w14:paraId="158459AA" w14:textId="6A6CD542" w:rsidR="001143DD" w:rsidRPr="0031793A" w:rsidRDefault="00C9631C" w:rsidP="00B47B9E">
      <w:pPr>
        <w:rPr>
          <w:rFonts w:ascii="Trebuchet MS" w:hAnsi="Trebuchet MS"/>
          <w:b/>
          <w:color w:val="17365D"/>
          <w:sz w:val="32"/>
          <w:szCs w:val="32"/>
        </w:rPr>
      </w:pPr>
      <w:r w:rsidRPr="0031793A">
        <w:rPr>
          <w:rFonts w:ascii="Trebuchet MS" w:hAnsi="Trebuchet MS"/>
          <w:b/>
          <w:color w:val="17365D"/>
          <w:sz w:val="32"/>
          <w:szCs w:val="32"/>
        </w:rPr>
        <w:t>C</w:t>
      </w:r>
      <w:r w:rsidRPr="0031793A">
        <w:rPr>
          <w:rFonts w:ascii="Trebuchet MS" w:hAnsi="Trebuchet MS"/>
          <w:b/>
          <w:sz w:val="32"/>
          <w:szCs w:val="32"/>
        </w:rPr>
        <w:t>ontents</w:t>
      </w:r>
      <w:r w:rsidRPr="0031793A">
        <w:rPr>
          <w:rFonts w:ascii="Trebuchet MS" w:hAnsi="Trebuchet MS"/>
          <w:b/>
          <w:color w:val="17365D"/>
          <w:sz w:val="32"/>
          <w:szCs w:val="32"/>
        </w:rPr>
        <w:t>:</w:t>
      </w:r>
    </w:p>
    <w:tbl>
      <w:tblPr>
        <w:tblStyle w:val="TableGrid"/>
        <w:tblW w:w="0" w:type="auto"/>
        <w:tblLook w:val="04A0" w:firstRow="1" w:lastRow="0" w:firstColumn="1" w:lastColumn="0" w:noHBand="0" w:noVBand="1"/>
      </w:tblPr>
      <w:tblGrid>
        <w:gridCol w:w="1044"/>
        <w:gridCol w:w="6905"/>
        <w:gridCol w:w="1067"/>
      </w:tblGrid>
      <w:tr w:rsidR="00C9631C" w14:paraId="444C8459" w14:textId="77777777" w:rsidTr="004954F4">
        <w:tc>
          <w:tcPr>
            <w:tcW w:w="1044" w:type="dxa"/>
          </w:tcPr>
          <w:p w14:paraId="3CF23CC5" w14:textId="2702E99D" w:rsidR="00C9631C" w:rsidRPr="00BC7888" w:rsidRDefault="00EC7937" w:rsidP="00B47B9E">
            <w:pPr>
              <w:rPr>
                <w:rFonts w:ascii="Trebuchet MS" w:hAnsi="Trebuchet MS"/>
                <w:b/>
                <w:sz w:val="24"/>
                <w:szCs w:val="24"/>
              </w:rPr>
            </w:pPr>
            <w:r w:rsidRPr="00BC7888">
              <w:rPr>
                <w:rFonts w:ascii="Trebuchet MS" w:hAnsi="Trebuchet MS"/>
                <w:b/>
                <w:sz w:val="24"/>
                <w:szCs w:val="24"/>
              </w:rPr>
              <w:t xml:space="preserve">Section </w:t>
            </w:r>
          </w:p>
        </w:tc>
        <w:tc>
          <w:tcPr>
            <w:tcW w:w="6905" w:type="dxa"/>
          </w:tcPr>
          <w:p w14:paraId="34121A66" w14:textId="67EBD15A" w:rsidR="00C9631C" w:rsidRPr="00BC7888" w:rsidRDefault="00EB1694" w:rsidP="00B47B9E">
            <w:pPr>
              <w:rPr>
                <w:rFonts w:ascii="Trebuchet MS" w:hAnsi="Trebuchet MS"/>
                <w:b/>
                <w:sz w:val="24"/>
                <w:szCs w:val="24"/>
              </w:rPr>
            </w:pPr>
            <w:r w:rsidRPr="00BC7888">
              <w:rPr>
                <w:rFonts w:ascii="Trebuchet MS" w:hAnsi="Trebuchet MS"/>
                <w:b/>
                <w:sz w:val="24"/>
                <w:szCs w:val="24"/>
              </w:rPr>
              <w:t>Item</w:t>
            </w:r>
          </w:p>
        </w:tc>
        <w:tc>
          <w:tcPr>
            <w:tcW w:w="1067" w:type="dxa"/>
          </w:tcPr>
          <w:p w14:paraId="358B83D0" w14:textId="7406F913" w:rsidR="00C9631C" w:rsidRPr="0031793A" w:rsidRDefault="00EB1694" w:rsidP="00B47B9E">
            <w:pPr>
              <w:rPr>
                <w:rFonts w:ascii="Trebuchet MS" w:hAnsi="Trebuchet MS"/>
                <w:b/>
                <w:color w:val="17365D"/>
                <w:sz w:val="24"/>
                <w:szCs w:val="24"/>
              </w:rPr>
            </w:pPr>
            <w:r w:rsidRPr="0031793A">
              <w:rPr>
                <w:rFonts w:ascii="Trebuchet MS" w:hAnsi="Trebuchet MS"/>
                <w:b/>
                <w:sz w:val="24"/>
                <w:szCs w:val="24"/>
              </w:rPr>
              <w:t xml:space="preserve">Page </w:t>
            </w:r>
          </w:p>
        </w:tc>
      </w:tr>
      <w:tr w:rsidR="00C9631C" w14:paraId="5923BB77" w14:textId="77777777" w:rsidTr="004954F4">
        <w:tc>
          <w:tcPr>
            <w:tcW w:w="1044" w:type="dxa"/>
          </w:tcPr>
          <w:p w14:paraId="07EF5F44" w14:textId="65008667" w:rsidR="00C9631C" w:rsidRPr="00BC7888" w:rsidRDefault="00716CCC" w:rsidP="00B47B9E">
            <w:pPr>
              <w:rPr>
                <w:rFonts w:ascii="Trebuchet MS" w:hAnsi="Trebuchet MS"/>
                <w:sz w:val="24"/>
                <w:szCs w:val="24"/>
              </w:rPr>
            </w:pPr>
            <w:r w:rsidRPr="00BC7888">
              <w:rPr>
                <w:rFonts w:ascii="Trebuchet MS" w:hAnsi="Trebuchet MS"/>
                <w:sz w:val="24"/>
                <w:szCs w:val="24"/>
              </w:rPr>
              <w:t>2</w:t>
            </w:r>
          </w:p>
        </w:tc>
        <w:tc>
          <w:tcPr>
            <w:tcW w:w="6905" w:type="dxa"/>
          </w:tcPr>
          <w:p w14:paraId="0526769E" w14:textId="18349409" w:rsidR="00C9631C" w:rsidRPr="00BC7888" w:rsidRDefault="00E516D6" w:rsidP="00B47B9E">
            <w:pPr>
              <w:rPr>
                <w:rFonts w:ascii="Trebuchet MS" w:hAnsi="Trebuchet MS"/>
                <w:sz w:val="24"/>
                <w:szCs w:val="24"/>
              </w:rPr>
            </w:pPr>
            <w:r w:rsidRPr="00BC7888">
              <w:rPr>
                <w:rFonts w:ascii="Trebuchet MS" w:hAnsi="Trebuchet MS"/>
                <w:sz w:val="24"/>
                <w:szCs w:val="24"/>
              </w:rPr>
              <w:t xml:space="preserve">Introduction </w:t>
            </w:r>
          </w:p>
        </w:tc>
        <w:tc>
          <w:tcPr>
            <w:tcW w:w="1067" w:type="dxa"/>
          </w:tcPr>
          <w:p w14:paraId="2FA146BE" w14:textId="13A17049" w:rsidR="00C9631C" w:rsidRDefault="003A2158" w:rsidP="00B47B9E">
            <w:pPr>
              <w:rPr>
                <w:b/>
                <w:color w:val="17365D"/>
                <w:sz w:val="24"/>
                <w:szCs w:val="24"/>
              </w:rPr>
            </w:pPr>
            <w:r>
              <w:rPr>
                <w:b/>
                <w:color w:val="17365D"/>
                <w:sz w:val="24"/>
                <w:szCs w:val="24"/>
              </w:rPr>
              <w:t>4</w:t>
            </w:r>
          </w:p>
        </w:tc>
      </w:tr>
      <w:tr w:rsidR="00C9631C" w14:paraId="2E011B8F" w14:textId="77777777" w:rsidTr="004954F4">
        <w:tc>
          <w:tcPr>
            <w:tcW w:w="1044" w:type="dxa"/>
          </w:tcPr>
          <w:p w14:paraId="4ADBB945" w14:textId="60311D3E" w:rsidR="00C9631C" w:rsidRPr="00BC7888" w:rsidRDefault="00716CCC" w:rsidP="00B47B9E">
            <w:pPr>
              <w:rPr>
                <w:rFonts w:ascii="Trebuchet MS" w:hAnsi="Trebuchet MS"/>
                <w:sz w:val="24"/>
                <w:szCs w:val="24"/>
              </w:rPr>
            </w:pPr>
            <w:r w:rsidRPr="00BC7888">
              <w:rPr>
                <w:rFonts w:ascii="Trebuchet MS" w:hAnsi="Trebuchet MS"/>
                <w:sz w:val="24"/>
                <w:szCs w:val="24"/>
              </w:rPr>
              <w:t>3</w:t>
            </w:r>
          </w:p>
        </w:tc>
        <w:tc>
          <w:tcPr>
            <w:tcW w:w="6905" w:type="dxa"/>
          </w:tcPr>
          <w:p w14:paraId="6A5F5B43" w14:textId="7D2E1347" w:rsidR="00C9631C" w:rsidRPr="00BC7888" w:rsidRDefault="003A2158" w:rsidP="00B47B9E">
            <w:pPr>
              <w:rPr>
                <w:rFonts w:ascii="Trebuchet MS" w:hAnsi="Trebuchet MS"/>
                <w:sz w:val="24"/>
                <w:szCs w:val="24"/>
              </w:rPr>
            </w:pPr>
            <w:r w:rsidRPr="00BC7888">
              <w:rPr>
                <w:rFonts w:ascii="Trebuchet MS" w:hAnsi="Trebuchet MS"/>
                <w:sz w:val="24"/>
                <w:szCs w:val="24"/>
              </w:rPr>
              <w:t xml:space="preserve">Information Sharing </w:t>
            </w:r>
          </w:p>
        </w:tc>
        <w:tc>
          <w:tcPr>
            <w:tcW w:w="1067" w:type="dxa"/>
          </w:tcPr>
          <w:p w14:paraId="673D1951" w14:textId="6BA6970E" w:rsidR="00C9631C" w:rsidRDefault="003A2158" w:rsidP="00B47B9E">
            <w:pPr>
              <w:rPr>
                <w:b/>
                <w:color w:val="17365D"/>
                <w:sz w:val="24"/>
                <w:szCs w:val="24"/>
              </w:rPr>
            </w:pPr>
            <w:r>
              <w:rPr>
                <w:b/>
                <w:color w:val="17365D"/>
                <w:sz w:val="24"/>
                <w:szCs w:val="24"/>
              </w:rPr>
              <w:t>4</w:t>
            </w:r>
          </w:p>
        </w:tc>
      </w:tr>
      <w:tr w:rsidR="00C9631C" w14:paraId="1DF8C5D8" w14:textId="77777777" w:rsidTr="004954F4">
        <w:tc>
          <w:tcPr>
            <w:tcW w:w="1044" w:type="dxa"/>
          </w:tcPr>
          <w:p w14:paraId="7B8AFC56" w14:textId="573BCF14" w:rsidR="00C9631C" w:rsidRPr="00BC7888" w:rsidRDefault="00716CCC" w:rsidP="00B47B9E">
            <w:pPr>
              <w:rPr>
                <w:rFonts w:ascii="Trebuchet MS" w:hAnsi="Trebuchet MS"/>
                <w:sz w:val="24"/>
                <w:szCs w:val="24"/>
              </w:rPr>
            </w:pPr>
            <w:r w:rsidRPr="00BC7888">
              <w:rPr>
                <w:rFonts w:ascii="Trebuchet MS" w:hAnsi="Trebuchet MS"/>
                <w:sz w:val="24"/>
                <w:szCs w:val="24"/>
              </w:rPr>
              <w:t>4</w:t>
            </w:r>
          </w:p>
        </w:tc>
        <w:tc>
          <w:tcPr>
            <w:tcW w:w="6905" w:type="dxa"/>
          </w:tcPr>
          <w:p w14:paraId="1DFF62B6" w14:textId="659D5146" w:rsidR="00C9631C" w:rsidRPr="00BC7888" w:rsidRDefault="00EC7937" w:rsidP="00B47B9E">
            <w:pPr>
              <w:rPr>
                <w:rFonts w:ascii="Trebuchet MS" w:hAnsi="Trebuchet MS"/>
                <w:sz w:val="24"/>
                <w:szCs w:val="24"/>
              </w:rPr>
            </w:pPr>
            <w:r w:rsidRPr="00BC7888">
              <w:rPr>
                <w:rFonts w:ascii="Trebuchet MS" w:hAnsi="Trebuchet MS"/>
                <w:sz w:val="24"/>
                <w:szCs w:val="24"/>
              </w:rPr>
              <w:t>Responsibili</w:t>
            </w:r>
            <w:r w:rsidR="00D94DDE" w:rsidRPr="00BC7888">
              <w:rPr>
                <w:rFonts w:ascii="Trebuchet MS" w:hAnsi="Trebuchet MS"/>
                <w:sz w:val="24"/>
                <w:szCs w:val="24"/>
              </w:rPr>
              <w:t xml:space="preserve">ties of Partner Agency </w:t>
            </w:r>
          </w:p>
        </w:tc>
        <w:tc>
          <w:tcPr>
            <w:tcW w:w="1067" w:type="dxa"/>
          </w:tcPr>
          <w:p w14:paraId="697A9025" w14:textId="66E582D6" w:rsidR="00C9631C" w:rsidRDefault="00767400" w:rsidP="00B47B9E">
            <w:pPr>
              <w:rPr>
                <w:b/>
                <w:color w:val="17365D"/>
                <w:sz w:val="24"/>
                <w:szCs w:val="24"/>
              </w:rPr>
            </w:pPr>
            <w:r>
              <w:rPr>
                <w:b/>
                <w:color w:val="17365D"/>
                <w:sz w:val="24"/>
                <w:szCs w:val="24"/>
              </w:rPr>
              <w:t>4</w:t>
            </w:r>
          </w:p>
        </w:tc>
      </w:tr>
      <w:tr w:rsidR="00C9631C" w14:paraId="6F2FF2C4" w14:textId="77777777" w:rsidTr="004954F4">
        <w:tc>
          <w:tcPr>
            <w:tcW w:w="1044" w:type="dxa"/>
          </w:tcPr>
          <w:p w14:paraId="6BCAA03F" w14:textId="594EC387" w:rsidR="00C9631C" w:rsidRPr="00BC7888" w:rsidRDefault="00D94DDE" w:rsidP="00B47B9E">
            <w:pPr>
              <w:rPr>
                <w:rFonts w:ascii="Trebuchet MS" w:hAnsi="Trebuchet MS"/>
                <w:sz w:val="24"/>
                <w:szCs w:val="24"/>
              </w:rPr>
            </w:pPr>
            <w:r w:rsidRPr="00BC7888">
              <w:rPr>
                <w:rFonts w:ascii="Trebuchet MS" w:hAnsi="Trebuchet MS"/>
                <w:sz w:val="24"/>
                <w:szCs w:val="24"/>
              </w:rPr>
              <w:t>4.1</w:t>
            </w:r>
          </w:p>
        </w:tc>
        <w:tc>
          <w:tcPr>
            <w:tcW w:w="6905" w:type="dxa"/>
          </w:tcPr>
          <w:p w14:paraId="5772743E" w14:textId="77279ECA" w:rsidR="00C9631C" w:rsidRPr="00BC7888" w:rsidRDefault="0094489C" w:rsidP="00B47B9E">
            <w:pPr>
              <w:rPr>
                <w:rFonts w:ascii="Trebuchet MS" w:hAnsi="Trebuchet MS"/>
                <w:sz w:val="24"/>
                <w:szCs w:val="24"/>
              </w:rPr>
            </w:pPr>
            <w:r w:rsidRPr="00BC7888">
              <w:rPr>
                <w:rFonts w:ascii="Trebuchet MS" w:hAnsi="Trebuchet MS"/>
                <w:sz w:val="24"/>
                <w:szCs w:val="24"/>
              </w:rPr>
              <w:t>Regarding Adults</w:t>
            </w:r>
          </w:p>
        </w:tc>
        <w:tc>
          <w:tcPr>
            <w:tcW w:w="1067" w:type="dxa"/>
          </w:tcPr>
          <w:p w14:paraId="5CE242F7" w14:textId="1F15956B" w:rsidR="00C9631C" w:rsidRDefault="00C927C6" w:rsidP="00B47B9E">
            <w:pPr>
              <w:rPr>
                <w:b/>
                <w:color w:val="17365D"/>
                <w:sz w:val="24"/>
                <w:szCs w:val="24"/>
              </w:rPr>
            </w:pPr>
            <w:r>
              <w:rPr>
                <w:b/>
                <w:color w:val="17365D"/>
                <w:sz w:val="24"/>
                <w:szCs w:val="24"/>
              </w:rPr>
              <w:t>4</w:t>
            </w:r>
          </w:p>
        </w:tc>
      </w:tr>
      <w:tr w:rsidR="00C9631C" w14:paraId="65B6D7BB" w14:textId="77777777" w:rsidTr="004954F4">
        <w:tc>
          <w:tcPr>
            <w:tcW w:w="1044" w:type="dxa"/>
          </w:tcPr>
          <w:p w14:paraId="1D813EC5" w14:textId="584D6372" w:rsidR="00C9631C" w:rsidRPr="00BC7888" w:rsidRDefault="0094489C" w:rsidP="00B47B9E">
            <w:pPr>
              <w:rPr>
                <w:rFonts w:ascii="Trebuchet MS" w:hAnsi="Trebuchet MS"/>
                <w:sz w:val="24"/>
                <w:szCs w:val="24"/>
              </w:rPr>
            </w:pPr>
            <w:r w:rsidRPr="00BC7888">
              <w:rPr>
                <w:rFonts w:ascii="Trebuchet MS" w:hAnsi="Trebuchet MS"/>
                <w:sz w:val="24"/>
                <w:szCs w:val="24"/>
              </w:rPr>
              <w:t>4.2</w:t>
            </w:r>
          </w:p>
        </w:tc>
        <w:tc>
          <w:tcPr>
            <w:tcW w:w="6905" w:type="dxa"/>
          </w:tcPr>
          <w:p w14:paraId="0251BEE5" w14:textId="4ACC2990" w:rsidR="00C9631C" w:rsidRPr="00BC7888" w:rsidRDefault="0094489C" w:rsidP="00B47B9E">
            <w:pPr>
              <w:rPr>
                <w:rFonts w:ascii="Trebuchet MS" w:hAnsi="Trebuchet MS"/>
                <w:sz w:val="24"/>
                <w:szCs w:val="24"/>
              </w:rPr>
            </w:pPr>
            <w:r w:rsidRPr="00BC7888">
              <w:rPr>
                <w:rFonts w:ascii="Trebuchet MS" w:hAnsi="Trebuchet MS"/>
                <w:sz w:val="24"/>
                <w:szCs w:val="24"/>
              </w:rPr>
              <w:t xml:space="preserve">Regarding Children </w:t>
            </w:r>
          </w:p>
        </w:tc>
        <w:tc>
          <w:tcPr>
            <w:tcW w:w="1067" w:type="dxa"/>
          </w:tcPr>
          <w:p w14:paraId="15151AEE" w14:textId="1A11E37E" w:rsidR="00C9631C" w:rsidRDefault="00C927C6" w:rsidP="00B47B9E">
            <w:pPr>
              <w:rPr>
                <w:b/>
                <w:color w:val="17365D"/>
                <w:sz w:val="24"/>
                <w:szCs w:val="24"/>
              </w:rPr>
            </w:pPr>
            <w:r>
              <w:rPr>
                <w:b/>
                <w:color w:val="17365D"/>
                <w:sz w:val="24"/>
                <w:szCs w:val="24"/>
              </w:rPr>
              <w:t>5</w:t>
            </w:r>
          </w:p>
        </w:tc>
      </w:tr>
      <w:tr w:rsidR="00C9631C" w14:paraId="54194E42" w14:textId="77777777" w:rsidTr="004954F4">
        <w:tc>
          <w:tcPr>
            <w:tcW w:w="1044" w:type="dxa"/>
          </w:tcPr>
          <w:p w14:paraId="327F056A" w14:textId="1D5A5DC6" w:rsidR="00C9631C" w:rsidRPr="00BC7888" w:rsidRDefault="0094489C" w:rsidP="00B47B9E">
            <w:pPr>
              <w:rPr>
                <w:rFonts w:ascii="Trebuchet MS" w:hAnsi="Trebuchet MS"/>
                <w:sz w:val="24"/>
                <w:szCs w:val="24"/>
              </w:rPr>
            </w:pPr>
            <w:r w:rsidRPr="00BC7888">
              <w:rPr>
                <w:rFonts w:ascii="Trebuchet MS" w:hAnsi="Trebuchet MS"/>
                <w:sz w:val="24"/>
                <w:szCs w:val="24"/>
              </w:rPr>
              <w:t>5</w:t>
            </w:r>
          </w:p>
        </w:tc>
        <w:tc>
          <w:tcPr>
            <w:tcW w:w="6905" w:type="dxa"/>
          </w:tcPr>
          <w:p w14:paraId="4DFF7D3D" w14:textId="392D6F52" w:rsidR="00C9631C" w:rsidRPr="00BC7888" w:rsidRDefault="00E71E5C" w:rsidP="00B47B9E">
            <w:pPr>
              <w:rPr>
                <w:rFonts w:ascii="Trebuchet MS" w:hAnsi="Trebuchet MS"/>
                <w:sz w:val="24"/>
                <w:szCs w:val="24"/>
              </w:rPr>
            </w:pPr>
            <w:r w:rsidRPr="00BC7888">
              <w:rPr>
                <w:rFonts w:ascii="Trebuchet MS" w:hAnsi="Trebuchet MS"/>
                <w:sz w:val="24"/>
                <w:szCs w:val="24"/>
              </w:rPr>
              <w:t xml:space="preserve">The Legal Context </w:t>
            </w:r>
          </w:p>
        </w:tc>
        <w:tc>
          <w:tcPr>
            <w:tcW w:w="1067" w:type="dxa"/>
          </w:tcPr>
          <w:p w14:paraId="5D745CCF" w14:textId="3B512666" w:rsidR="00C9631C" w:rsidRDefault="00C927C6" w:rsidP="00B47B9E">
            <w:pPr>
              <w:rPr>
                <w:b/>
                <w:color w:val="17365D"/>
                <w:sz w:val="24"/>
                <w:szCs w:val="24"/>
              </w:rPr>
            </w:pPr>
            <w:r>
              <w:rPr>
                <w:b/>
                <w:color w:val="17365D"/>
                <w:sz w:val="24"/>
                <w:szCs w:val="24"/>
              </w:rPr>
              <w:t>6</w:t>
            </w:r>
          </w:p>
        </w:tc>
      </w:tr>
      <w:tr w:rsidR="00C9631C" w14:paraId="696FC4BA" w14:textId="77777777" w:rsidTr="004954F4">
        <w:tc>
          <w:tcPr>
            <w:tcW w:w="1044" w:type="dxa"/>
          </w:tcPr>
          <w:p w14:paraId="69DC2ABE" w14:textId="6D69FF15" w:rsidR="00C9631C" w:rsidRPr="00BC7888" w:rsidRDefault="0094489C" w:rsidP="00B47B9E">
            <w:pPr>
              <w:rPr>
                <w:rFonts w:ascii="Trebuchet MS" w:hAnsi="Trebuchet MS"/>
                <w:sz w:val="24"/>
                <w:szCs w:val="24"/>
              </w:rPr>
            </w:pPr>
            <w:r w:rsidRPr="00BC7888">
              <w:rPr>
                <w:rFonts w:ascii="Trebuchet MS" w:hAnsi="Trebuchet MS"/>
                <w:sz w:val="24"/>
                <w:szCs w:val="24"/>
              </w:rPr>
              <w:t>6</w:t>
            </w:r>
          </w:p>
        </w:tc>
        <w:tc>
          <w:tcPr>
            <w:tcW w:w="6905" w:type="dxa"/>
          </w:tcPr>
          <w:p w14:paraId="3E60A306" w14:textId="13CBC34B" w:rsidR="00C9631C" w:rsidRPr="00BC7888" w:rsidRDefault="00E71E5C" w:rsidP="00B47B9E">
            <w:pPr>
              <w:rPr>
                <w:rFonts w:ascii="Trebuchet MS" w:hAnsi="Trebuchet MS"/>
                <w:sz w:val="24"/>
                <w:szCs w:val="24"/>
              </w:rPr>
            </w:pPr>
            <w:r w:rsidRPr="00BC7888">
              <w:rPr>
                <w:rFonts w:ascii="Trebuchet MS" w:hAnsi="Trebuchet MS"/>
                <w:sz w:val="24"/>
                <w:szCs w:val="24"/>
              </w:rPr>
              <w:t>Scope</w:t>
            </w:r>
          </w:p>
        </w:tc>
        <w:tc>
          <w:tcPr>
            <w:tcW w:w="1067" w:type="dxa"/>
          </w:tcPr>
          <w:p w14:paraId="1C5AFB84" w14:textId="333AF7CA" w:rsidR="00C9631C" w:rsidRDefault="00C927C6" w:rsidP="00B47B9E">
            <w:pPr>
              <w:rPr>
                <w:b/>
                <w:color w:val="17365D"/>
                <w:sz w:val="24"/>
                <w:szCs w:val="24"/>
              </w:rPr>
            </w:pPr>
            <w:r>
              <w:rPr>
                <w:b/>
                <w:color w:val="17365D"/>
                <w:sz w:val="24"/>
                <w:szCs w:val="24"/>
              </w:rPr>
              <w:t>8</w:t>
            </w:r>
          </w:p>
        </w:tc>
      </w:tr>
      <w:tr w:rsidR="00C9631C" w14:paraId="0D57FF06" w14:textId="77777777" w:rsidTr="004954F4">
        <w:tc>
          <w:tcPr>
            <w:tcW w:w="1044" w:type="dxa"/>
          </w:tcPr>
          <w:p w14:paraId="7FDB023C" w14:textId="3EF0718B" w:rsidR="00C9631C" w:rsidRPr="00BC7888" w:rsidRDefault="0094489C" w:rsidP="00B47B9E">
            <w:pPr>
              <w:rPr>
                <w:rFonts w:ascii="Trebuchet MS" w:hAnsi="Trebuchet MS"/>
                <w:sz w:val="24"/>
                <w:szCs w:val="24"/>
              </w:rPr>
            </w:pPr>
            <w:r w:rsidRPr="00BC7888">
              <w:rPr>
                <w:rFonts w:ascii="Trebuchet MS" w:hAnsi="Trebuchet MS"/>
                <w:sz w:val="24"/>
                <w:szCs w:val="24"/>
              </w:rPr>
              <w:t>7</w:t>
            </w:r>
          </w:p>
        </w:tc>
        <w:tc>
          <w:tcPr>
            <w:tcW w:w="6905" w:type="dxa"/>
          </w:tcPr>
          <w:p w14:paraId="0FF1C2DE" w14:textId="2C86E196" w:rsidR="00C9631C" w:rsidRPr="00BC7888" w:rsidRDefault="00E71E5C" w:rsidP="00B47B9E">
            <w:pPr>
              <w:rPr>
                <w:rFonts w:ascii="Trebuchet MS" w:hAnsi="Trebuchet MS"/>
                <w:sz w:val="24"/>
                <w:szCs w:val="24"/>
              </w:rPr>
            </w:pPr>
            <w:r w:rsidRPr="00BC7888">
              <w:rPr>
                <w:rFonts w:ascii="Trebuchet MS" w:hAnsi="Trebuchet MS"/>
                <w:sz w:val="24"/>
                <w:szCs w:val="24"/>
              </w:rPr>
              <w:t>Out of Scope</w:t>
            </w:r>
          </w:p>
        </w:tc>
        <w:tc>
          <w:tcPr>
            <w:tcW w:w="1067" w:type="dxa"/>
          </w:tcPr>
          <w:p w14:paraId="48CD76EB" w14:textId="7840C6F6" w:rsidR="00C9631C" w:rsidRDefault="00C927C6" w:rsidP="00B47B9E">
            <w:pPr>
              <w:rPr>
                <w:b/>
                <w:color w:val="17365D"/>
                <w:sz w:val="24"/>
                <w:szCs w:val="24"/>
              </w:rPr>
            </w:pPr>
            <w:r>
              <w:rPr>
                <w:b/>
                <w:color w:val="17365D"/>
                <w:sz w:val="24"/>
                <w:szCs w:val="24"/>
              </w:rPr>
              <w:t>8</w:t>
            </w:r>
          </w:p>
        </w:tc>
      </w:tr>
      <w:tr w:rsidR="00C9631C" w14:paraId="6EAED6A4" w14:textId="77777777" w:rsidTr="004954F4">
        <w:tc>
          <w:tcPr>
            <w:tcW w:w="1044" w:type="dxa"/>
          </w:tcPr>
          <w:p w14:paraId="03DF4101" w14:textId="503C845F" w:rsidR="00C9631C" w:rsidRPr="00BC7888" w:rsidRDefault="0094489C" w:rsidP="00B47B9E">
            <w:pPr>
              <w:rPr>
                <w:rFonts w:ascii="Trebuchet MS" w:hAnsi="Trebuchet MS"/>
                <w:sz w:val="24"/>
                <w:szCs w:val="24"/>
              </w:rPr>
            </w:pPr>
            <w:r w:rsidRPr="00BC7888">
              <w:rPr>
                <w:rFonts w:ascii="Trebuchet MS" w:hAnsi="Trebuchet MS"/>
                <w:sz w:val="24"/>
                <w:szCs w:val="24"/>
              </w:rPr>
              <w:t>8</w:t>
            </w:r>
          </w:p>
        </w:tc>
        <w:tc>
          <w:tcPr>
            <w:tcW w:w="6905" w:type="dxa"/>
          </w:tcPr>
          <w:p w14:paraId="26CD8334" w14:textId="05DF87BF" w:rsidR="00C9631C" w:rsidRPr="00BC7888" w:rsidRDefault="005245EB" w:rsidP="00B47B9E">
            <w:pPr>
              <w:rPr>
                <w:rFonts w:ascii="Trebuchet MS" w:hAnsi="Trebuchet MS"/>
                <w:sz w:val="24"/>
                <w:szCs w:val="24"/>
              </w:rPr>
            </w:pPr>
            <w:r w:rsidRPr="00BC7888">
              <w:rPr>
                <w:rFonts w:ascii="Trebuchet MS" w:hAnsi="Trebuchet MS"/>
                <w:sz w:val="24"/>
                <w:szCs w:val="24"/>
              </w:rPr>
              <w:t>References</w:t>
            </w:r>
          </w:p>
        </w:tc>
        <w:tc>
          <w:tcPr>
            <w:tcW w:w="1067" w:type="dxa"/>
          </w:tcPr>
          <w:p w14:paraId="352F3271" w14:textId="6ABE3877" w:rsidR="00C9631C" w:rsidRDefault="00B94BF4" w:rsidP="00B47B9E">
            <w:pPr>
              <w:rPr>
                <w:b/>
                <w:color w:val="17365D"/>
                <w:sz w:val="24"/>
                <w:szCs w:val="24"/>
              </w:rPr>
            </w:pPr>
            <w:r>
              <w:rPr>
                <w:b/>
                <w:color w:val="17365D"/>
                <w:sz w:val="24"/>
                <w:szCs w:val="24"/>
              </w:rPr>
              <w:t>9</w:t>
            </w:r>
          </w:p>
        </w:tc>
      </w:tr>
      <w:tr w:rsidR="00B277EE" w14:paraId="77067B0E" w14:textId="77777777" w:rsidTr="004954F4">
        <w:tc>
          <w:tcPr>
            <w:tcW w:w="1044" w:type="dxa"/>
          </w:tcPr>
          <w:p w14:paraId="03929E17" w14:textId="0C384801" w:rsidR="00B277EE" w:rsidRPr="00BC7888" w:rsidRDefault="00B94BF4" w:rsidP="00B47B9E">
            <w:pPr>
              <w:rPr>
                <w:rFonts w:ascii="Trebuchet MS" w:hAnsi="Trebuchet MS"/>
                <w:sz w:val="24"/>
                <w:szCs w:val="24"/>
              </w:rPr>
            </w:pPr>
            <w:r w:rsidRPr="00BC7888">
              <w:rPr>
                <w:rFonts w:ascii="Trebuchet MS" w:hAnsi="Trebuchet MS"/>
                <w:sz w:val="24"/>
                <w:szCs w:val="24"/>
              </w:rPr>
              <w:t>9</w:t>
            </w:r>
          </w:p>
        </w:tc>
        <w:tc>
          <w:tcPr>
            <w:tcW w:w="6905" w:type="dxa"/>
          </w:tcPr>
          <w:p w14:paraId="2AC78038" w14:textId="15AB82B3" w:rsidR="00B277EE" w:rsidRPr="00BC7888" w:rsidRDefault="00643CBE" w:rsidP="00B47B9E">
            <w:pPr>
              <w:rPr>
                <w:rFonts w:ascii="Trebuchet MS" w:hAnsi="Trebuchet MS"/>
                <w:sz w:val="24"/>
                <w:szCs w:val="24"/>
              </w:rPr>
            </w:pPr>
            <w:r>
              <w:rPr>
                <w:rFonts w:ascii="Trebuchet MS" w:hAnsi="Trebuchet MS"/>
                <w:sz w:val="24"/>
                <w:szCs w:val="24"/>
              </w:rPr>
              <w:t xml:space="preserve">Recording and Record Keeping </w:t>
            </w:r>
          </w:p>
        </w:tc>
        <w:tc>
          <w:tcPr>
            <w:tcW w:w="1067" w:type="dxa"/>
          </w:tcPr>
          <w:p w14:paraId="428EB019" w14:textId="09B7C99D" w:rsidR="00B277EE" w:rsidRDefault="00B94BF4" w:rsidP="00B47B9E">
            <w:pPr>
              <w:rPr>
                <w:b/>
                <w:color w:val="17365D"/>
                <w:sz w:val="24"/>
                <w:szCs w:val="24"/>
              </w:rPr>
            </w:pPr>
            <w:r>
              <w:rPr>
                <w:b/>
                <w:color w:val="17365D"/>
                <w:sz w:val="24"/>
                <w:szCs w:val="24"/>
              </w:rPr>
              <w:t>9</w:t>
            </w:r>
          </w:p>
        </w:tc>
      </w:tr>
      <w:tr w:rsidR="00643CBE" w14:paraId="2E8201C2" w14:textId="77777777" w:rsidTr="004954F4">
        <w:tc>
          <w:tcPr>
            <w:tcW w:w="1044" w:type="dxa"/>
          </w:tcPr>
          <w:p w14:paraId="361F0813" w14:textId="6F9BC090" w:rsidR="00643CBE" w:rsidRPr="00BC7888" w:rsidRDefault="00643CBE" w:rsidP="00B47B9E">
            <w:pPr>
              <w:rPr>
                <w:rFonts w:ascii="Trebuchet MS" w:hAnsi="Trebuchet MS"/>
                <w:sz w:val="24"/>
                <w:szCs w:val="24"/>
              </w:rPr>
            </w:pPr>
            <w:r>
              <w:rPr>
                <w:rFonts w:ascii="Trebuchet MS" w:hAnsi="Trebuchet MS"/>
                <w:sz w:val="24"/>
                <w:szCs w:val="24"/>
              </w:rPr>
              <w:t>10</w:t>
            </w:r>
          </w:p>
        </w:tc>
        <w:tc>
          <w:tcPr>
            <w:tcW w:w="6905" w:type="dxa"/>
          </w:tcPr>
          <w:p w14:paraId="5F859C50" w14:textId="4F6BAD6F" w:rsidR="00643CBE" w:rsidRDefault="00643CBE" w:rsidP="00B47B9E">
            <w:pPr>
              <w:rPr>
                <w:rFonts w:ascii="Trebuchet MS" w:hAnsi="Trebuchet MS"/>
                <w:sz w:val="24"/>
                <w:szCs w:val="24"/>
              </w:rPr>
            </w:pPr>
            <w:r>
              <w:rPr>
                <w:rFonts w:ascii="Trebuchet MS" w:hAnsi="Trebuchet MS"/>
                <w:sz w:val="24"/>
                <w:szCs w:val="24"/>
              </w:rPr>
              <w:t xml:space="preserve">ESAB Partners Good PIPOT Practice Checklist </w:t>
            </w:r>
          </w:p>
        </w:tc>
        <w:tc>
          <w:tcPr>
            <w:tcW w:w="1067" w:type="dxa"/>
          </w:tcPr>
          <w:p w14:paraId="23CA99FB" w14:textId="64134D1F" w:rsidR="00643CBE" w:rsidRDefault="00643CBE" w:rsidP="00B47B9E">
            <w:pPr>
              <w:rPr>
                <w:b/>
                <w:color w:val="17365D"/>
                <w:sz w:val="24"/>
                <w:szCs w:val="24"/>
              </w:rPr>
            </w:pPr>
            <w:r>
              <w:rPr>
                <w:b/>
                <w:color w:val="17365D"/>
                <w:sz w:val="24"/>
                <w:szCs w:val="24"/>
              </w:rPr>
              <w:t>10</w:t>
            </w:r>
          </w:p>
        </w:tc>
      </w:tr>
      <w:tr w:rsidR="00643CBE" w14:paraId="32D0BF85" w14:textId="77777777" w:rsidTr="004954F4">
        <w:tc>
          <w:tcPr>
            <w:tcW w:w="1044" w:type="dxa"/>
          </w:tcPr>
          <w:p w14:paraId="663882BA" w14:textId="7ADBC74D" w:rsidR="00643CBE" w:rsidRDefault="00643CBE" w:rsidP="00B47B9E">
            <w:pPr>
              <w:rPr>
                <w:rFonts w:ascii="Trebuchet MS" w:hAnsi="Trebuchet MS"/>
                <w:sz w:val="24"/>
                <w:szCs w:val="24"/>
              </w:rPr>
            </w:pPr>
            <w:r>
              <w:rPr>
                <w:rFonts w:ascii="Trebuchet MS" w:hAnsi="Trebuchet MS"/>
                <w:sz w:val="24"/>
                <w:szCs w:val="24"/>
              </w:rPr>
              <w:t xml:space="preserve">11 </w:t>
            </w:r>
          </w:p>
        </w:tc>
        <w:tc>
          <w:tcPr>
            <w:tcW w:w="6905" w:type="dxa"/>
          </w:tcPr>
          <w:p w14:paraId="20FC0EAF" w14:textId="44E40F16" w:rsidR="00643CBE" w:rsidRDefault="00643CBE" w:rsidP="00B47B9E">
            <w:pPr>
              <w:rPr>
                <w:rFonts w:ascii="Trebuchet MS" w:hAnsi="Trebuchet MS"/>
                <w:sz w:val="24"/>
                <w:szCs w:val="24"/>
              </w:rPr>
            </w:pPr>
            <w:r>
              <w:rPr>
                <w:rFonts w:ascii="Trebuchet MS" w:hAnsi="Trebuchet MS"/>
                <w:sz w:val="24"/>
                <w:szCs w:val="24"/>
              </w:rPr>
              <w:t xml:space="preserve">Information sharing guidance for Practitioners and Managers </w:t>
            </w:r>
          </w:p>
        </w:tc>
        <w:tc>
          <w:tcPr>
            <w:tcW w:w="1067" w:type="dxa"/>
          </w:tcPr>
          <w:p w14:paraId="00CC25BF" w14:textId="7CA8152D" w:rsidR="00643CBE" w:rsidRDefault="00643CBE" w:rsidP="00B47B9E">
            <w:pPr>
              <w:rPr>
                <w:b/>
                <w:color w:val="17365D"/>
                <w:sz w:val="24"/>
                <w:szCs w:val="24"/>
              </w:rPr>
            </w:pPr>
            <w:r>
              <w:rPr>
                <w:b/>
                <w:color w:val="17365D"/>
                <w:sz w:val="24"/>
                <w:szCs w:val="24"/>
              </w:rPr>
              <w:t>11</w:t>
            </w:r>
          </w:p>
        </w:tc>
      </w:tr>
      <w:tr w:rsidR="00643CBE" w14:paraId="5FFDB414" w14:textId="77777777" w:rsidTr="004954F4">
        <w:tc>
          <w:tcPr>
            <w:tcW w:w="1044" w:type="dxa"/>
          </w:tcPr>
          <w:p w14:paraId="0D7F5564" w14:textId="6F8998E7" w:rsidR="00643CBE" w:rsidRDefault="005F4C5F" w:rsidP="00B47B9E">
            <w:pPr>
              <w:rPr>
                <w:rFonts w:ascii="Trebuchet MS" w:hAnsi="Trebuchet MS"/>
                <w:sz w:val="24"/>
                <w:szCs w:val="24"/>
              </w:rPr>
            </w:pPr>
            <w:r>
              <w:rPr>
                <w:rFonts w:ascii="Trebuchet MS" w:hAnsi="Trebuchet MS"/>
                <w:sz w:val="24"/>
                <w:szCs w:val="24"/>
              </w:rPr>
              <w:t>12</w:t>
            </w:r>
          </w:p>
        </w:tc>
        <w:tc>
          <w:tcPr>
            <w:tcW w:w="6905" w:type="dxa"/>
          </w:tcPr>
          <w:p w14:paraId="68FB8377" w14:textId="0BD6570E" w:rsidR="00643CBE" w:rsidRDefault="006121F9" w:rsidP="00B47B9E">
            <w:pPr>
              <w:rPr>
                <w:rFonts w:ascii="Trebuchet MS" w:hAnsi="Trebuchet MS"/>
                <w:sz w:val="24"/>
                <w:szCs w:val="24"/>
              </w:rPr>
            </w:pPr>
            <w:r>
              <w:rPr>
                <w:rFonts w:ascii="Trebuchet MS" w:hAnsi="Trebuchet MS"/>
                <w:sz w:val="24"/>
                <w:szCs w:val="24"/>
              </w:rPr>
              <w:t xml:space="preserve">Appendixes </w:t>
            </w:r>
            <w:r w:rsidR="005F4C5F">
              <w:rPr>
                <w:rFonts w:ascii="Trebuchet MS" w:hAnsi="Trebuchet MS"/>
                <w:sz w:val="24"/>
                <w:szCs w:val="24"/>
              </w:rPr>
              <w:t xml:space="preserve">to PIPOT Protocol </w:t>
            </w:r>
          </w:p>
        </w:tc>
        <w:tc>
          <w:tcPr>
            <w:tcW w:w="1067" w:type="dxa"/>
          </w:tcPr>
          <w:p w14:paraId="13EF5788" w14:textId="66C5A041" w:rsidR="00643CBE" w:rsidRDefault="005F4C5F" w:rsidP="00B47B9E">
            <w:pPr>
              <w:rPr>
                <w:b/>
                <w:color w:val="17365D"/>
                <w:sz w:val="24"/>
                <w:szCs w:val="24"/>
              </w:rPr>
            </w:pPr>
            <w:r>
              <w:rPr>
                <w:b/>
                <w:color w:val="17365D"/>
                <w:sz w:val="24"/>
                <w:szCs w:val="24"/>
              </w:rPr>
              <w:t>11</w:t>
            </w:r>
          </w:p>
        </w:tc>
      </w:tr>
    </w:tbl>
    <w:p w14:paraId="56904740" w14:textId="77777777" w:rsidR="00716CCC" w:rsidRDefault="00716CCC" w:rsidP="00B47B9E">
      <w:pPr>
        <w:rPr>
          <w:rFonts w:ascii="Trebuchet MS" w:hAnsi="Trebuchet MS"/>
          <w:b/>
          <w:color w:val="17365D"/>
          <w:sz w:val="28"/>
          <w:szCs w:val="28"/>
        </w:rPr>
      </w:pPr>
    </w:p>
    <w:p w14:paraId="33D4B065" w14:textId="06E7F8E2" w:rsidR="006266D7" w:rsidRPr="005F4C5F" w:rsidRDefault="00726C30" w:rsidP="00DB5DCD">
      <w:pPr>
        <w:rPr>
          <w:rFonts w:ascii="Trebuchet MS" w:hAnsi="Trebuchet MS"/>
          <w:sz w:val="32"/>
          <w:szCs w:val="32"/>
        </w:rPr>
      </w:pPr>
      <w:r>
        <w:rPr>
          <w:rFonts w:ascii="Trebuchet MS" w:hAnsi="Trebuchet MS"/>
          <w:b/>
          <w:sz w:val="28"/>
          <w:szCs w:val="28"/>
        </w:rPr>
        <w:lastRenderedPageBreak/>
        <w:t xml:space="preserve"> </w:t>
      </w:r>
      <w:r w:rsidR="006266D7" w:rsidRPr="005F4C5F">
        <w:rPr>
          <w:rFonts w:ascii="Trebuchet MS" w:hAnsi="Trebuchet MS"/>
          <w:b/>
          <w:sz w:val="32"/>
          <w:szCs w:val="32"/>
        </w:rPr>
        <w:t xml:space="preserve">Glossary: </w:t>
      </w:r>
    </w:p>
    <w:tbl>
      <w:tblPr>
        <w:tblStyle w:val="TableGrid"/>
        <w:tblW w:w="0" w:type="auto"/>
        <w:tblInd w:w="-5" w:type="dxa"/>
        <w:tblLook w:val="04A0" w:firstRow="1" w:lastRow="0" w:firstColumn="1" w:lastColumn="0" w:noHBand="0" w:noVBand="1"/>
      </w:tblPr>
      <w:tblGrid>
        <w:gridCol w:w="1418"/>
        <w:gridCol w:w="7603"/>
      </w:tblGrid>
      <w:tr w:rsidR="006266D7" w14:paraId="0484F872" w14:textId="77777777" w:rsidTr="00DB5DCD">
        <w:tc>
          <w:tcPr>
            <w:tcW w:w="1418" w:type="dxa"/>
            <w:shd w:val="clear" w:color="auto" w:fill="BFBFBF" w:themeFill="background1" w:themeFillShade="BF"/>
          </w:tcPr>
          <w:p w14:paraId="017FF17B" w14:textId="15D05C95" w:rsidR="006266D7" w:rsidRPr="00CE79F9" w:rsidRDefault="00527733" w:rsidP="003D0216">
            <w:pPr>
              <w:pStyle w:val="ListParagraph"/>
              <w:ind w:left="0"/>
              <w:rPr>
                <w:rFonts w:ascii="Trebuchet MS" w:hAnsi="Trebuchet MS"/>
                <w:sz w:val="24"/>
                <w:szCs w:val="24"/>
              </w:rPr>
            </w:pPr>
            <w:r>
              <w:rPr>
                <w:rFonts w:ascii="Trebuchet MS" w:hAnsi="Trebuchet MS"/>
                <w:sz w:val="24"/>
                <w:szCs w:val="24"/>
              </w:rPr>
              <w:t>CQC</w:t>
            </w:r>
          </w:p>
        </w:tc>
        <w:tc>
          <w:tcPr>
            <w:tcW w:w="7603" w:type="dxa"/>
          </w:tcPr>
          <w:p w14:paraId="245FA68B" w14:textId="1AEC4F2B" w:rsidR="006266D7" w:rsidRPr="00CE79F9" w:rsidRDefault="00527733" w:rsidP="003D0216">
            <w:pPr>
              <w:pStyle w:val="ListParagraph"/>
              <w:ind w:left="0"/>
              <w:rPr>
                <w:rFonts w:ascii="Trebuchet MS" w:hAnsi="Trebuchet MS"/>
                <w:sz w:val="24"/>
                <w:szCs w:val="24"/>
              </w:rPr>
            </w:pPr>
            <w:r>
              <w:rPr>
                <w:rFonts w:ascii="Trebuchet MS" w:hAnsi="Trebuchet MS"/>
                <w:sz w:val="24"/>
                <w:szCs w:val="24"/>
              </w:rPr>
              <w:t xml:space="preserve"> Care Quality Commission </w:t>
            </w:r>
          </w:p>
        </w:tc>
      </w:tr>
      <w:tr w:rsidR="006F5E45" w14:paraId="48838D11" w14:textId="77777777" w:rsidTr="00DB5DCD">
        <w:tc>
          <w:tcPr>
            <w:tcW w:w="1418" w:type="dxa"/>
            <w:shd w:val="clear" w:color="auto" w:fill="BFBFBF" w:themeFill="background1" w:themeFillShade="BF"/>
          </w:tcPr>
          <w:p w14:paraId="7C3BD323" w14:textId="6D50101C" w:rsidR="006F5E45" w:rsidRPr="00CE79F9" w:rsidRDefault="006F5E45" w:rsidP="006F5E45">
            <w:pPr>
              <w:pStyle w:val="ListParagraph"/>
              <w:ind w:left="0"/>
              <w:rPr>
                <w:rFonts w:ascii="Trebuchet MS" w:hAnsi="Trebuchet MS"/>
                <w:sz w:val="24"/>
                <w:szCs w:val="24"/>
              </w:rPr>
            </w:pPr>
            <w:r>
              <w:rPr>
                <w:rFonts w:ascii="Trebuchet MS" w:hAnsi="Trebuchet MS"/>
                <w:sz w:val="24"/>
                <w:szCs w:val="24"/>
              </w:rPr>
              <w:t>ESAB</w:t>
            </w:r>
          </w:p>
        </w:tc>
        <w:tc>
          <w:tcPr>
            <w:tcW w:w="7603" w:type="dxa"/>
          </w:tcPr>
          <w:p w14:paraId="1E1FE43C" w14:textId="3386FABC" w:rsidR="006F5E45" w:rsidRPr="00CE79F9" w:rsidRDefault="006F5E45" w:rsidP="006F5E45">
            <w:pPr>
              <w:pStyle w:val="ListParagraph"/>
              <w:ind w:left="0"/>
              <w:rPr>
                <w:rFonts w:ascii="Trebuchet MS" w:hAnsi="Trebuchet MS"/>
                <w:sz w:val="24"/>
                <w:szCs w:val="24"/>
              </w:rPr>
            </w:pPr>
            <w:r w:rsidRPr="00887B21">
              <w:rPr>
                <w:rFonts w:ascii="Trebuchet MS" w:hAnsi="Trebuchet MS"/>
                <w:sz w:val="24"/>
                <w:szCs w:val="24"/>
              </w:rPr>
              <w:t>Enfield Safeguarding Adults Board</w:t>
            </w:r>
          </w:p>
        </w:tc>
      </w:tr>
      <w:tr w:rsidR="006F5E45" w14:paraId="78901B20" w14:textId="77777777" w:rsidTr="00DB5DCD">
        <w:tc>
          <w:tcPr>
            <w:tcW w:w="1418" w:type="dxa"/>
            <w:shd w:val="clear" w:color="auto" w:fill="BFBFBF" w:themeFill="background1" w:themeFillShade="BF"/>
          </w:tcPr>
          <w:p w14:paraId="79C792A6" w14:textId="60793A30" w:rsidR="006F5E45" w:rsidRPr="00887B21" w:rsidRDefault="006F5E45" w:rsidP="006F5E45">
            <w:pPr>
              <w:pStyle w:val="ListParagraph"/>
              <w:ind w:left="0"/>
              <w:rPr>
                <w:rFonts w:ascii="Trebuchet MS" w:hAnsi="Trebuchet MS"/>
                <w:sz w:val="24"/>
                <w:szCs w:val="24"/>
              </w:rPr>
            </w:pPr>
            <w:r w:rsidRPr="00CE79F9">
              <w:rPr>
                <w:rFonts w:ascii="Trebuchet MS" w:hAnsi="Trebuchet MS"/>
                <w:sz w:val="24"/>
                <w:szCs w:val="24"/>
              </w:rPr>
              <w:t>DBS:</w:t>
            </w:r>
          </w:p>
        </w:tc>
        <w:tc>
          <w:tcPr>
            <w:tcW w:w="7603" w:type="dxa"/>
          </w:tcPr>
          <w:p w14:paraId="7851E376" w14:textId="25BA2FF0" w:rsidR="006F5E45" w:rsidRPr="00887B21" w:rsidRDefault="006F5E45" w:rsidP="006F5E45">
            <w:pPr>
              <w:pStyle w:val="ListParagraph"/>
              <w:ind w:left="0"/>
              <w:rPr>
                <w:rFonts w:ascii="Trebuchet MS" w:hAnsi="Trebuchet MS"/>
                <w:sz w:val="24"/>
                <w:szCs w:val="24"/>
              </w:rPr>
            </w:pPr>
            <w:r w:rsidRPr="00CE79F9">
              <w:rPr>
                <w:rFonts w:ascii="Trebuchet MS" w:hAnsi="Trebuchet MS"/>
                <w:sz w:val="24"/>
                <w:szCs w:val="24"/>
              </w:rPr>
              <w:t>Disclosure</w:t>
            </w:r>
            <w:r>
              <w:rPr>
                <w:rFonts w:ascii="Trebuchet MS" w:hAnsi="Trebuchet MS"/>
                <w:sz w:val="24"/>
                <w:szCs w:val="24"/>
              </w:rPr>
              <w:t xml:space="preserve"> &amp;</w:t>
            </w:r>
            <w:r w:rsidRPr="00CE79F9">
              <w:rPr>
                <w:rFonts w:ascii="Trebuchet MS" w:hAnsi="Trebuchet MS"/>
                <w:sz w:val="24"/>
                <w:szCs w:val="24"/>
              </w:rPr>
              <w:t xml:space="preserve"> Barring Service </w:t>
            </w:r>
          </w:p>
        </w:tc>
      </w:tr>
      <w:tr w:rsidR="006F5E45" w14:paraId="1455961D" w14:textId="77777777" w:rsidTr="00DB5DCD">
        <w:tc>
          <w:tcPr>
            <w:tcW w:w="1418" w:type="dxa"/>
            <w:shd w:val="clear" w:color="auto" w:fill="BFBFBF" w:themeFill="background1" w:themeFillShade="BF"/>
          </w:tcPr>
          <w:p w14:paraId="4B6DA52B" w14:textId="444433D3" w:rsidR="006F5E45" w:rsidRPr="00DB5DCD" w:rsidRDefault="006F5E45" w:rsidP="006F5E45">
            <w:pPr>
              <w:pStyle w:val="ListParagraph"/>
              <w:ind w:left="0"/>
              <w:rPr>
                <w:rFonts w:ascii="Trebuchet MS" w:hAnsi="Trebuchet MS"/>
                <w:sz w:val="24"/>
                <w:szCs w:val="24"/>
              </w:rPr>
            </w:pPr>
            <w:r>
              <w:rPr>
                <w:rFonts w:ascii="Trebuchet MS" w:hAnsi="Trebuchet MS"/>
                <w:sz w:val="24"/>
                <w:szCs w:val="24"/>
              </w:rPr>
              <w:t>GDPR</w:t>
            </w:r>
          </w:p>
        </w:tc>
        <w:tc>
          <w:tcPr>
            <w:tcW w:w="7603" w:type="dxa"/>
          </w:tcPr>
          <w:p w14:paraId="486636EA" w14:textId="3AA81C46" w:rsidR="006F5E45" w:rsidRPr="00887B21" w:rsidRDefault="003B110D" w:rsidP="006F5E45">
            <w:pPr>
              <w:pStyle w:val="ListParagraph"/>
              <w:ind w:left="0"/>
              <w:rPr>
                <w:rFonts w:ascii="Trebuchet MS" w:hAnsi="Trebuchet MS"/>
                <w:sz w:val="24"/>
                <w:szCs w:val="24"/>
              </w:rPr>
            </w:pPr>
            <w:r>
              <w:rPr>
                <w:rFonts w:ascii="Trebuchet MS" w:hAnsi="Trebuchet MS"/>
                <w:sz w:val="24"/>
                <w:szCs w:val="24"/>
              </w:rPr>
              <w:t xml:space="preserve">General Data Protection </w:t>
            </w:r>
            <w:r w:rsidR="00984807">
              <w:rPr>
                <w:rFonts w:ascii="Trebuchet MS" w:hAnsi="Trebuchet MS"/>
                <w:sz w:val="24"/>
                <w:szCs w:val="24"/>
              </w:rPr>
              <w:t>Regulation</w:t>
            </w:r>
          </w:p>
        </w:tc>
      </w:tr>
      <w:tr w:rsidR="00C504FE" w14:paraId="4D60E3BA" w14:textId="77777777" w:rsidTr="00DB5DCD">
        <w:tc>
          <w:tcPr>
            <w:tcW w:w="1418" w:type="dxa"/>
            <w:shd w:val="clear" w:color="auto" w:fill="BFBFBF" w:themeFill="background1" w:themeFillShade="BF"/>
          </w:tcPr>
          <w:p w14:paraId="326C879D" w14:textId="3B6AA0AB" w:rsidR="00C504FE" w:rsidRDefault="00C504FE" w:rsidP="00C504FE">
            <w:pPr>
              <w:pStyle w:val="ListParagraph"/>
              <w:ind w:left="0"/>
              <w:rPr>
                <w:rFonts w:ascii="Trebuchet MS" w:hAnsi="Trebuchet MS"/>
                <w:sz w:val="28"/>
                <w:szCs w:val="28"/>
              </w:rPr>
            </w:pPr>
            <w:r>
              <w:rPr>
                <w:rFonts w:ascii="Trebuchet MS" w:hAnsi="Trebuchet MS"/>
                <w:sz w:val="24"/>
                <w:szCs w:val="24"/>
              </w:rPr>
              <w:t>LADO</w:t>
            </w:r>
          </w:p>
        </w:tc>
        <w:tc>
          <w:tcPr>
            <w:tcW w:w="7603" w:type="dxa"/>
          </w:tcPr>
          <w:p w14:paraId="089B6AE7" w14:textId="04A28C67" w:rsidR="00C504FE" w:rsidRDefault="00C504FE" w:rsidP="00C504FE">
            <w:pPr>
              <w:pStyle w:val="ListParagraph"/>
              <w:ind w:left="0"/>
              <w:rPr>
                <w:rFonts w:ascii="Trebuchet MS" w:hAnsi="Trebuchet MS"/>
                <w:sz w:val="28"/>
                <w:szCs w:val="28"/>
              </w:rPr>
            </w:pPr>
            <w:r>
              <w:rPr>
                <w:rFonts w:ascii="Trebuchet MS" w:hAnsi="Trebuchet MS"/>
                <w:sz w:val="24"/>
                <w:szCs w:val="24"/>
              </w:rPr>
              <w:t xml:space="preserve"> Local Authority Designated Officer for Children </w:t>
            </w:r>
          </w:p>
        </w:tc>
      </w:tr>
      <w:tr w:rsidR="00C504FE" w14:paraId="457390C7" w14:textId="77777777" w:rsidTr="00DB5DCD">
        <w:tc>
          <w:tcPr>
            <w:tcW w:w="1418" w:type="dxa"/>
            <w:shd w:val="clear" w:color="auto" w:fill="BFBFBF" w:themeFill="background1" w:themeFillShade="BF"/>
          </w:tcPr>
          <w:p w14:paraId="190D3F2C" w14:textId="5417EE97" w:rsidR="00C504FE" w:rsidRDefault="00C504FE" w:rsidP="00C504FE">
            <w:pPr>
              <w:pStyle w:val="ListParagraph"/>
              <w:ind w:left="0"/>
              <w:rPr>
                <w:rFonts w:ascii="Trebuchet MS" w:hAnsi="Trebuchet MS"/>
                <w:sz w:val="28"/>
                <w:szCs w:val="28"/>
              </w:rPr>
            </w:pPr>
            <w:r w:rsidRPr="00887B21">
              <w:rPr>
                <w:rFonts w:ascii="Trebuchet MS" w:hAnsi="Trebuchet MS"/>
                <w:sz w:val="24"/>
                <w:szCs w:val="24"/>
              </w:rPr>
              <w:t>PIPOT</w:t>
            </w:r>
          </w:p>
        </w:tc>
        <w:tc>
          <w:tcPr>
            <w:tcW w:w="7603" w:type="dxa"/>
          </w:tcPr>
          <w:p w14:paraId="2C3D4457" w14:textId="352909F2" w:rsidR="00C504FE" w:rsidRDefault="00C504FE" w:rsidP="00C504FE">
            <w:pPr>
              <w:pStyle w:val="ListParagraph"/>
              <w:ind w:left="0"/>
              <w:rPr>
                <w:rFonts w:ascii="Trebuchet MS" w:hAnsi="Trebuchet MS"/>
                <w:sz w:val="28"/>
                <w:szCs w:val="28"/>
              </w:rPr>
            </w:pPr>
            <w:r w:rsidRPr="00887B21">
              <w:rPr>
                <w:rFonts w:ascii="Trebuchet MS" w:hAnsi="Trebuchet MS"/>
                <w:sz w:val="24"/>
                <w:szCs w:val="24"/>
              </w:rPr>
              <w:t>Person in a Position of Trust</w:t>
            </w:r>
          </w:p>
        </w:tc>
      </w:tr>
      <w:tr w:rsidR="00C504FE" w14:paraId="052E5EC9" w14:textId="77777777" w:rsidTr="00DB5DCD">
        <w:tc>
          <w:tcPr>
            <w:tcW w:w="1418" w:type="dxa"/>
            <w:shd w:val="clear" w:color="auto" w:fill="BFBFBF" w:themeFill="background1" w:themeFillShade="BF"/>
          </w:tcPr>
          <w:p w14:paraId="7D85ED98" w14:textId="181A9B1B" w:rsidR="00C504FE" w:rsidRDefault="00C504FE" w:rsidP="00C504FE">
            <w:pPr>
              <w:pStyle w:val="ListParagraph"/>
              <w:ind w:left="0"/>
              <w:rPr>
                <w:rFonts w:ascii="Trebuchet MS" w:hAnsi="Trebuchet MS"/>
                <w:sz w:val="28"/>
                <w:szCs w:val="28"/>
              </w:rPr>
            </w:pPr>
          </w:p>
        </w:tc>
        <w:tc>
          <w:tcPr>
            <w:tcW w:w="7603" w:type="dxa"/>
          </w:tcPr>
          <w:p w14:paraId="15F8CF1E" w14:textId="2E193532" w:rsidR="00C504FE" w:rsidRDefault="00C504FE" w:rsidP="00C504FE">
            <w:pPr>
              <w:pStyle w:val="ListParagraph"/>
              <w:ind w:left="0"/>
              <w:rPr>
                <w:rFonts w:ascii="Trebuchet MS" w:hAnsi="Trebuchet MS"/>
                <w:sz w:val="28"/>
                <w:szCs w:val="28"/>
              </w:rPr>
            </w:pPr>
          </w:p>
        </w:tc>
      </w:tr>
    </w:tbl>
    <w:p w14:paraId="2A118793" w14:textId="38273B55" w:rsidR="0061652C" w:rsidRDefault="0061652C" w:rsidP="00BC5BF1">
      <w:pPr>
        <w:jc w:val="center"/>
        <w:rPr>
          <w:rFonts w:ascii="Trebuchet MS" w:hAnsi="Trebuchet MS"/>
          <w:b/>
          <w:color w:val="17365D"/>
          <w:sz w:val="28"/>
          <w:szCs w:val="28"/>
        </w:rPr>
      </w:pPr>
    </w:p>
    <w:p w14:paraId="541C0C50" w14:textId="77777777" w:rsidR="00DF0BC1" w:rsidRDefault="00DF0BC1" w:rsidP="00BC5BF1">
      <w:pPr>
        <w:jc w:val="center"/>
        <w:rPr>
          <w:rFonts w:ascii="Trebuchet MS" w:hAnsi="Trebuchet MS"/>
          <w:b/>
          <w:color w:val="17365D"/>
          <w:sz w:val="28"/>
          <w:szCs w:val="28"/>
        </w:rPr>
      </w:pPr>
    </w:p>
    <w:p w14:paraId="409E1DA1" w14:textId="57F81517" w:rsidR="00DC29F5" w:rsidRPr="004954F4" w:rsidRDefault="0061652C" w:rsidP="004954F4">
      <w:pPr>
        <w:jc w:val="center"/>
        <w:rPr>
          <w:rFonts w:ascii="Trebuchet MS" w:hAnsi="Trebuchet MS"/>
          <w:b/>
          <w:color w:val="17365D"/>
          <w:sz w:val="40"/>
          <w:szCs w:val="40"/>
        </w:rPr>
      </w:pPr>
      <w:r w:rsidRPr="0070365F">
        <w:rPr>
          <w:rFonts w:ascii="Trebuchet MS" w:hAnsi="Trebuchet MS"/>
          <w:b/>
          <w:color w:val="17365D"/>
          <w:sz w:val="40"/>
          <w:szCs w:val="40"/>
        </w:rPr>
        <w:t xml:space="preserve">The Protocol </w:t>
      </w:r>
    </w:p>
    <w:p w14:paraId="2919984E" w14:textId="151C6938" w:rsidR="008C3A73" w:rsidRPr="00B844B2" w:rsidRDefault="00C555AA" w:rsidP="009A4922">
      <w:pPr>
        <w:rPr>
          <w:rFonts w:ascii="Trebuchet MS" w:hAnsi="Trebuchet MS"/>
          <w:b/>
          <w:sz w:val="28"/>
          <w:szCs w:val="28"/>
        </w:rPr>
      </w:pPr>
      <w:r>
        <w:rPr>
          <w:rFonts w:ascii="Trebuchet MS" w:hAnsi="Trebuchet MS"/>
          <w:b/>
          <w:sz w:val="28"/>
          <w:szCs w:val="28"/>
        </w:rPr>
        <w:t>1</w:t>
      </w:r>
      <w:r w:rsidR="003C466A" w:rsidRPr="00B844B2">
        <w:rPr>
          <w:rFonts w:ascii="Trebuchet MS" w:hAnsi="Trebuchet MS"/>
          <w:b/>
          <w:sz w:val="28"/>
          <w:szCs w:val="28"/>
        </w:rPr>
        <w:t>.</w:t>
      </w:r>
      <w:r w:rsidR="008C3A73" w:rsidRPr="00B844B2">
        <w:rPr>
          <w:rFonts w:ascii="Trebuchet MS" w:hAnsi="Trebuchet MS"/>
          <w:b/>
          <w:sz w:val="28"/>
          <w:szCs w:val="28"/>
        </w:rPr>
        <w:t xml:space="preserve"> Introduction </w:t>
      </w:r>
    </w:p>
    <w:p w14:paraId="470376ED" w14:textId="61BE80C2" w:rsidR="004C75F0" w:rsidRDefault="004C75F0" w:rsidP="008116B9">
      <w:pPr>
        <w:pStyle w:val="BodyText"/>
        <w:numPr>
          <w:ilvl w:val="1"/>
          <w:numId w:val="9"/>
        </w:numPr>
        <w:spacing w:before="201"/>
        <w:ind w:right="223"/>
        <w:rPr>
          <w:rFonts w:ascii="Trebuchet MS" w:hAnsi="Trebuchet MS"/>
        </w:rPr>
      </w:pPr>
      <w:r>
        <w:rPr>
          <w:rFonts w:ascii="Trebuchet MS" w:hAnsi="Trebuchet MS"/>
        </w:rPr>
        <w:t xml:space="preserve">This protocol was created to support implementation of the requirements in </w:t>
      </w:r>
      <w:bookmarkStart w:id="0" w:name="_Hlk22051573"/>
      <w:r w:rsidR="000840A1">
        <w:rPr>
          <w:rStyle w:val="Hyperlink"/>
          <w:rFonts w:ascii="Trebuchet MS" w:hAnsi="Trebuchet MS"/>
        </w:rPr>
        <w:fldChar w:fldCharType="begin"/>
      </w:r>
      <w:r w:rsidR="000840A1">
        <w:rPr>
          <w:rStyle w:val="Hyperlink"/>
          <w:rFonts w:ascii="Trebuchet MS" w:hAnsi="Trebuchet MS"/>
        </w:rPr>
        <w:instrText xml:space="preserve"> HYPERLINK "https://www.gov.uk/government/publications/care-act-statutory-guidance/care-and-support-statutory-guidance" \l "safeguarding-1" </w:instrText>
      </w:r>
      <w:r w:rsidR="000840A1">
        <w:rPr>
          <w:rStyle w:val="Hyperlink"/>
          <w:rFonts w:ascii="Trebuchet MS" w:hAnsi="Trebuchet MS"/>
        </w:rPr>
        <w:fldChar w:fldCharType="separate"/>
      </w:r>
      <w:r w:rsidRPr="00C555AA">
        <w:rPr>
          <w:rStyle w:val="Hyperlink"/>
          <w:rFonts w:ascii="Trebuchet MS" w:hAnsi="Trebuchet MS"/>
        </w:rPr>
        <w:t>the Care and Support Statutory Guidance around the Care Act (2014)</w:t>
      </w:r>
      <w:r w:rsidR="000840A1">
        <w:rPr>
          <w:rStyle w:val="Hyperlink"/>
          <w:rFonts w:ascii="Trebuchet MS" w:hAnsi="Trebuchet MS"/>
        </w:rPr>
        <w:fldChar w:fldCharType="end"/>
      </w:r>
      <w:bookmarkEnd w:id="0"/>
      <w:r>
        <w:rPr>
          <w:rFonts w:ascii="Trebuchet MS" w:hAnsi="Trebuchet MS"/>
        </w:rPr>
        <w:t xml:space="preserve"> (which was updated in 2018) that deal with ‘Allegations against people in a position of Trust’ – paragraphs 14.120 to 14.132. This Protocol and Practice Guide is designed to be read in conjunction with this and relevant information sharing guidance/ legislation. </w:t>
      </w:r>
    </w:p>
    <w:p w14:paraId="307806D5" w14:textId="25CBA340" w:rsidR="008B14D9" w:rsidRPr="004954F4" w:rsidRDefault="008B14D9" w:rsidP="004954F4">
      <w:pPr>
        <w:pStyle w:val="BodyText"/>
        <w:numPr>
          <w:ilvl w:val="1"/>
          <w:numId w:val="9"/>
        </w:numPr>
        <w:spacing w:before="199"/>
        <w:ind w:right="617"/>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14D9">
        <w:rPr>
          <w:rFonts w:ascii="Trebuchet MS" w:hAnsi="Trebuchet MS"/>
        </w:rPr>
        <w:t xml:space="preserve">This Protocol and Process also draws heavily from the </w:t>
      </w:r>
      <w:r>
        <w:rPr>
          <w:rFonts w:ascii="Trebuchet MS" w:hAnsi="Trebuchet MS"/>
        </w:rPr>
        <w:fldChar w:fldCharType="begin"/>
      </w:r>
      <w:r>
        <w:rPr>
          <w:rFonts w:ascii="Trebuchet MS" w:hAnsi="Trebuchet MS"/>
        </w:rPr>
        <w:instrText>HYPERLINK "https://www.bromley.gov.uk/download/downloads/id/5130/framework_and_toolkit_for_managing_allegations_and_concerns_around_people_in_positions_of_trust_who_work_with_adults_who_have_care_and_support_needs.pdf"</w:instrText>
      </w:r>
      <w:r>
        <w:rPr>
          <w:rFonts w:ascii="Trebuchet MS" w:hAnsi="Trebuchet MS"/>
        </w:rPr>
        <w:fldChar w:fldCharType="separate"/>
      </w:r>
      <w:proofErr w:type="spellStart"/>
      <w:r w:rsidRPr="008B14D9">
        <w:rPr>
          <w:rStyle w:val="Hyperlink"/>
          <w:rFonts w:ascii="Trebuchet MS" w:hAnsi="Trebuchet MS"/>
        </w:rPr>
        <w:t>The</w:t>
      </w:r>
      <w:proofErr w:type="spellEnd"/>
      <w:r w:rsidRPr="008B14D9">
        <w:rPr>
          <w:rStyle w:val="Hyperlink"/>
          <w:rFonts w:ascii="Trebuchet MS" w:hAnsi="Trebuchet MS"/>
        </w:rPr>
        <w:t xml:space="preserve"> Bromley </w:t>
      </w:r>
      <w:r w:rsidR="004954F4">
        <w:rPr>
          <w:rStyle w:val="Hyperlink"/>
          <w:rFonts w:ascii="Trebuchet MS" w:hAnsi="Trebuchet MS"/>
        </w:rPr>
        <w:t xml:space="preserve"> </w:t>
      </w:r>
      <w:r w:rsidRPr="008B14D9">
        <w:rPr>
          <w:rStyle w:val="Hyperlink"/>
          <w:rFonts w:ascii="Trebuchet MS" w:hAnsi="Trebuchet MS"/>
        </w:rPr>
        <w:t>Safeguarding Adult Board Framework and Toolkit for Managing allegations and Concerns around People in Positions of Trust who work with Adults who have care and support Needs (2018)</w:t>
      </w:r>
      <w:r>
        <w:rPr>
          <w:rStyle w:val="Hyperlink"/>
          <w:rFonts w:ascii="Trebuchet MS" w:hAnsi="Trebuchet MS"/>
        </w:rPr>
        <w:t xml:space="preserve"> </w:t>
      </w:r>
      <w:r w:rsidR="004954F4" w:rsidRPr="004954F4">
        <w:t xml:space="preserve">with thanks. </w:t>
      </w:r>
    </w:p>
    <w:p w14:paraId="5ADFA060" w14:textId="07AAE18A" w:rsidR="00B05A66" w:rsidRPr="008B14D9" w:rsidRDefault="008B14D9" w:rsidP="008116B9">
      <w:pPr>
        <w:pStyle w:val="BodyText"/>
        <w:numPr>
          <w:ilvl w:val="1"/>
          <w:numId w:val="9"/>
        </w:numPr>
        <w:spacing w:before="201"/>
        <w:ind w:right="223"/>
        <w:rPr>
          <w:rFonts w:ascii="Trebuchet MS" w:hAnsi="Trebuchet MS"/>
        </w:rPr>
      </w:pPr>
      <w:r>
        <w:rPr>
          <w:rFonts w:ascii="Trebuchet MS" w:hAnsi="Trebuchet MS"/>
        </w:rPr>
        <w:fldChar w:fldCharType="end"/>
      </w:r>
      <w:r w:rsidR="00B72081" w:rsidRPr="008B14D9">
        <w:rPr>
          <w:rFonts w:ascii="Trebuchet MS" w:hAnsi="Trebuchet MS"/>
        </w:rPr>
        <w:t>This protocol relates to those instances where a relevant agency is alerted to</w:t>
      </w:r>
      <w:r w:rsidR="00DF7B4E" w:rsidRPr="008B14D9">
        <w:rPr>
          <w:rFonts w:ascii="Trebuchet MS" w:hAnsi="Trebuchet MS"/>
        </w:rPr>
        <w:t xml:space="preserve"> </w:t>
      </w:r>
      <w:r w:rsidR="00B72081" w:rsidRPr="008B14D9">
        <w:rPr>
          <w:rFonts w:ascii="Trebuchet MS" w:hAnsi="Trebuchet MS"/>
        </w:rPr>
        <w:t>information that may affect the suitability of a professional, or volunteer to work with an adult(s) at risk, where such information has originated from activity outside their professional or volunteer role and place of work.</w:t>
      </w:r>
    </w:p>
    <w:p w14:paraId="1013AA25" w14:textId="77777777" w:rsidR="005C112F" w:rsidRDefault="00B72081" w:rsidP="008116B9">
      <w:pPr>
        <w:pStyle w:val="BodyText"/>
        <w:numPr>
          <w:ilvl w:val="1"/>
          <w:numId w:val="9"/>
        </w:numPr>
        <w:spacing w:before="201"/>
        <w:ind w:right="223"/>
        <w:rPr>
          <w:rFonts w:ascii="Trebuchet MS" w:hAnsi="Trebuchet MS"/>
        </w:rPr>
      </w:pPr>
      <w:r w:rsidRPr="002612D6">
        <w:rPr>
          <w:rFonts w:ascii="Trebuchet MS" w:hAnsi="Trebuchet MS"/>
        </w:rPr>
        <w:t xml:space="preserve">The alleged victim, in such circumstances, does not have to be an adult at risk, for example, it could be their partner or a child. </w:t>
      </w:r>
      <w:r w:rsidR="005221DF" w:rsidRPr="002612D6">
        <w:rPr>
          <w:rFonts w:ascii="Trebuchet MS" w:hAnsi="Trebuchet MS"/>
        </w:rPr>
        <w:t xml:space="preserve"> Therefore, take note that t</w:t>
      </w:r>
      <w:r w:rsidRPr="002612D6">
        <w:rPr>
          <w:rFonts w:ascii="Trebuchet MS" w:hAnsi="Trebuchet MS"/>
        </w:rPr>
        <w:t xml:space="preserve">his document refers to when there is an allegation which does not necessarily directly involve an adult at </w:t>
      </w:r>
      <w:r w:rsidR="00A470DA" w:rsidRPr="002612D6">
        <w:rPr>
          <w:rFonts w:ascii="Trebuchet MS" w:hAnsi="Trebuchet MS"/>
        </w:rPr>
        <w:t>r</w:t>
      </w:r>
      <w:r w:rsidR="005C112F">
        <w:rPr>
          <w:rFonts w:ascii="Trebuchet MS" w:hAnsi="Trebuchet MS"/>
        </w:rPr>
        <w:t>isk</w:t>
      </w:r>
      <w:r w:rsidR="00A470DA" w:rsidRPr="002612D6">
        <w:rPr>
          <w:rFonts w:ascii="Trebuchet MS" w:hAnsi="Trebuchet MS"/>
        </w:rPr>
        <w:t xml:space="preserve"> but</w:t>
      </w:r>
      <w:r w:rsidRPr="002612D6">
        <w:rPr>
          <w:rFonts w:ascii="Trebuchet MS" w:hAnsi="Trebuchet MS"/>
        </w:rPr>
        <w:t xml:space="preserve"> may have risk implications in relation to the employment or volunteer work of a person in a position of trust (P</w:t>
      </w:r>
      <w:r w:rsidR="002E4056">
        <w:rPr>
          <w:rFonts w:ascii="Trebuchet MS" w:hAnsi="Trebuchet MS"/>
        </w:rPr>
        <w:t>I</w:t>
      </w:r>
      <w:r w:rsidRPr="002612D6">
        <w:rPr>
          <w:rFonts w:ascii="Trebuchet MS" w:hAnsi="Trebuchet MS"/>
        </w:rPr>
        <w:t>P</w:t>
      </w:r>
      <w:r w:rsidR="002E4056">
        <w:rPr>
          <w:rFonts w:ascii="Trebuchet MS" w:hAnsi="Trebuchet MS"/>
        </w:rPr>
        <w:t>O</w:t>
      </w:r>
      <w:r w:rsidRPr="002612D6">
        <w:rPr>
          <w:rFonts w:ascii="Trebuchet MS" w:hAnsi="Trebuchet MS"/>
        </w:rPr>
        <w:t>T).</w:t>
      </w:r>
      <w:r w:rsidR="005C112F">
        <w:rPr>
          <w:rFonts w:ascii="Trebuchet MS" w:hAnsi="Trebuchet MS"/>
        </w:rPr>
        <w:t xml:space="preserve"> </w:t>
      </w:r>
    </w:p>
    <w:p w14:paraId="53BB7811" w14:textId="6B6B3BD1" w:rsidR="00C555AA" w:rsidRDefault="005C112F" w:rsidP="008116B9">
      <w:pPr>
        <w:pStyle w:val="BodyText"/>
        <w:numPr>
          <w:ilvl w:val="1"/>
          <w:numId w:val="9"/>
        </w:numPr>
        <w:spacing w:before="201"/>
        <w:ind w:right="223"/>
        <w:rPr>
          <w:rFonts w:ascii="Trebuchet MS" w:hAnsi="Trebuchet MS"/>
        </w:rPr>
      </w:pPr>
      <w:r>
        <w:rPr>
          <w:rFonts w:ascii="Trebuchet MS" w:hAnsi="Trebuchet MS"/>
        </w:rPr>
        <w:t xml:space="preserve">If the allegation is that the person in a position of trust has abused or neglected an adult at risk in their care then Section 42 Enquiry processes apply. Under such circumstances, disclosure and information sharing would be discussed and decided through those meetings and discussions. This policy would not apply. </w:t>
      </w:r>
    </w:p>
    <w:p w14:paraId="37C55D52" w14:textId="0B8F8D73" w:rsidR="00C555AA" w:rsidRPr="00C555AA" w:rsidRDefault="00B72081" w:rsidP="008116B9">
      <w:pPr>
        <w:pStyle w:val="BodyText"/>
        <w:numPr>
          <w:ilvl w:val="1"/>
          <w:numId w:val="9"/>
        </w:numPr>
        <w:spacing w:before="201"/>
        <w:ind w:right="223"/>
        <w:rPr>
          <w:rFonts w:ascii="Trebuchet MS" w:hAnsi="Trebuchet MS"/>
        </w:rPr>
      </w:pPr>
      <w:r w:rsidRPr="00C555AA">
        <w:rPr>
          <w:rFonts w:ascii="Trebuchet MS" w:eastAsia="Times New Roman" w:hAnsi="Trebuchet MS" w:cs="Times New Roman"/>
          <w:lang w:val="en"/>
        </w:rPr>
        <w:t xml:space="preserve">Examples of concerns </w:t>
      </w:r>
      <w:r w:rsidR="00DF0BC1">
        <w:rPr>
          <w:rFonts w:ascii="Trebuchet MS" w:eastAsia="Times New Roman" w:hAnsi="Trebuchet MS" w:cs="Times New Roman"/>
          <w:lang w:val="en"/>
        </w:rPr>
        <w:t>where the PIPOT policy and process would apply include where the person in a position of trust has:</w:t>
      </w:r>
    </w:p>
    <w:p w14:paraId="4E1D4E88" w14:textId="1E82889A" w:rsidR="00DA2B95" w:rsidRPr="00DF7B4E" w:rsidRDefault="00B72081" w:rsidP="008116B9">
      <w:pPr>
        <w:pStyle w:val="ListParagraph"/>
        <w:numPr>
          <w:ilvl w:val="0"/>
          <w:numId w:val="8"/>
        </w:numPr>
        <w:spacing w:before="100" w:beforeAutospacing="1" w:after="100" w:afterAutospacing="1"/>
        <w:rPr>
          <w:rFonts w:ascii="Trebuchet MS" w:eastAsia="Times New Roman" w:hAnsi="Trebuchet MS" w:cs="Times New Roman"/>
          <w:sz w:val="24"/>
          <w:szCs w:val="24"/>
          <w:lang w:val="en"/>
        </w:rPr>
      </w:pPr>
      <w:r w:rsidRPr="00DF7B4E">
        <w:rPr>
          <w:rFonts w:ascii="Trebuchet MS" w:eastAsia="Times New Roman" w:hAnsi="Trebuchet MS" w:cs="Times New Roman"/>
          <w:sz w:val="24"/>
          <w:szCs w:val="24"/>
          <w:lang w:val="en"/>
        </w:rPr>
        <w:lastRenderedPageBreak/>
        <w:t>behaved in a way that has harmed, or may have harmed an adult or child;</w:t>
      </w:r>
    </w:p>
    <w:p w14:paraId="7FBA6D36" w14:textId="648DDA73" w:rsidR="00B72081" w:rsidRPr="00DF7B4E" w:rsidRDefault="00A25EC6" w:rsidP="008116B9">
      <w:pPr>
        <w:pStyle w:val="ListParagraph"/>
        <w:numPr>
          <w:ilvl w:val="0"/>
          <w:numId w:val="8"/>
        </w:numPr>
        <w:spacing w:before="100" w:beforeAutospacing="1" w:after="100" w:afterAutospacing="1" w:line="240" w:lineRule="auto"/>
        <w:rPr>
          <w:rFonts w:ascii="Trebuchet MS" w:eastAsia="Times New Roman" w:hAnsi="Trebuchet MS" w:cs="Times New Roman"/>
          <w:sz w:val="24"/>
          <w:szCs w:val="24"/>
          <w:lang w:val="en"/>
        </w:rPr>
      </w:pPr>
      <w:r w:rsidRPr="00DF7B4E">
        <w:rPr>
          <w:rFonts w:ascii="Trebuchet MS" w:eastAsia="Times New Roman" w:hAnsi="Trebuchet MS" w:cs="Times New Roman"/>
          <w:sz w:val="24"/>
          <w:szCs w:val="24"/>
          <w:lang w:val="en"/>
        </w:rPr>
        <w:t>possibly</w:t>
      </w:r>
      <w:r w:rsidR="00B72081" w:rsidRPr="00DF7B4E">
        <w:rPr>
          <w:rFonts w:ascii="Trebuchet MS" w:eastAsia="Times New Roman" w:hAnsi="Trebuchet MS" w:cs="Times New Roman"/>
          <w:sz w:val="24"/>
          <w:szCs w:val="24"/>
          <w:lang w:val="en"/>
        </w:rPr>
        <w:t xml:space="preserve"> committed a criminal offence against, or related to, an adult or child;</w:t>
      </w:r>
    </w:p>
    <w:p w14:paraId="2DFCAA27" w14:textId="6B621E03" w:rsidR="00B72081" w:rsidRDefault="00B72081" w:rsidP="008116B9">
      <w:pPr>
        <w:pStyle w:val="ListParagraph"/>
        <w:numPr>
          <w:ilvl w:val="0"/>
          <w:numId w:val="8"/>
        </w:numPr>
        <w:spacing w:before="100" w:beforeAutospacing="1" w:after="100" w:afterAutospacing="1" w:line="240" w:lineRule="auto"/>
        <w:rPr>
          <w:rFonts w:ascii="Trebuchet MS" w:eastAsia="Times New Roman" w:hAnsi="Trebuchet MS" w:cs="Times New Roman"/>
          <w:sz w:val="24"/>
          <w:szCs w:val="24"/>
          <w:lang w:val="en"/>
        </w:rPr>
      </w:pPr>
      <w:r w:rsidRPr="00DF7B4E">
        <w:rPr>
          <w:rFonts w:ascii="Trebuchet MS" w:eastAsia="Times New Roman" w:hAnsi="Trebuchet MS" w:cs="Times New Roman"/>
          <w:sz w:val="24"/>
          <w:szCs w:val="24"/>
          <w:lang w:val="en"/>
        </w:rPr>
        <w:t>behaved towards an adult or child in a way that indicates they may pose a risk of harm to adults with care and support needs.</w:t>
      </w:r>
    </w:p>
    <w:p w14:paraId="5C583E7B" w14:textId="77777777" w:rsidR="00DF7B4E" w:rsidRPr="00DF7B4E" w:rsidRDefault="00DF7B4E" w:rsidP="00DF7B4E">
      <w:pPr>
        <w:pStyle w:val="ListParagraph"/>
        <w:spacing w:before="100" w:beforeAutospacing="1" w:after="100" w:afterAutospacing="1" w:line="240" w:lineRule="auto"/>
        <w:rPr>
          <w:rFonts w:ascii="Trebuchet MS" w:eastAsia="Times New Roman" w:hAnsi="Trebuchet MS" w:cs="Times New Roman"/>
          <w:sz w:val="24"/>
          <w:szCs w:val="24"/>
          <w:lang w:val="en"/>
        </w:rPr>
      </w:pPr>
    </w:p>
    <w:p w14:paraId="434C3744" w14:textId="66985064" w:rsidR="00D51F84" w:rsidRPr="00DF7B4E" w:rsidRDefault="00D51F84" w:rsidP="008116B9">
      <w:pPr>
        <w:pStyle w:val="ListParagraph"/>
        <w:numPr>
          <w:ilvl w:val="1"/>
          <w:numId w:val="9"/>
        </w:numPr>
        <w:spacing w:before="100" w:beforeAutospacing="1" w:after="100" w:afterAutospacing="1" w:line="240" w:lineRule="auto"/>
        <w:rPr>
          <w:rFonts w:ascii="Trebuchet MS" w:eastAsia="Times New Roman" w:hAnsi="Trebuchet MS" w:cs="Times New Roman"/>
          <w:sz w:val="24"/>
          <w:szCs w:val="24"/>
          <w:lang w:val="en"/>
        </w:rPr>
      </w:pPr>
      <w:r w:rsidRPr="00DF7B4E">
        <w:rPr>
          <w:rFonts w:ascii="Trebuchet MS" w:eastAsia="Times New Roman" w:hAnsi="Trebuchet MS" w:cs="Times New Roman"/>
          <w:sz w:val="24"/>
          <w:szCs w:val="24"/>
          <w:lang w:val="en"/>
        </w:rPr>
        <w:t>Where an adult has behaved in such a way that this impacts on their suitability to work with (or continue to work with) children then this should be referred to the Local Authority Designated Officer (LADO). There is likely to be some overlap in such cases and both the risks to adults and children need to be considered appropriately</w:t>
      </w:r>
      <w:r w:rsidR="00C555AA" w:rsidRPr="00DF7B4E">
        <w:rPr>
          <w:rFonts w:ascii="Trebuchet MS" w:eastAsia="Times New Roman" w:hAnsi="Trebuchet MS" w:cs="Times New Roman"/>
          <w:sz w:val="24"/>
          <w:szCs w:val="24"/>
          <w:lang w:val="en"/>
        </w:rPr>
        <w:t xml:space="preserve"> – please see Section 3.2 of this protocol. </w:t>
      </w:r>
    </w:p>
    <w:p w14:paraId="276E61A6" w14:textId="51CE1C72" w:rsidR="003C466A" w:rsidRPr="00B844B2" w:rsidRDefault="00DF7B4E" w:rsidP="00B72081">
      <w:pPr>
        <w:rPr>
          <w:rFonts w:ascii="Trebuchet MS" w:hAnsi="Trebuchet MS"/>
          <w:sz w:val="28"/>
          <w:szCs w:val="28"/>
        </w:rPr>
      </w:pPr>
      <w:r>
        <w:rPr>
          <w:rFonts w:ascii="Trebuchet MS" w:hAnsi="Trebuchet MS"/>
          <w:sz w:val="28"/>
          <w:szCs w:val="28"/>
        </w:rPr>
        <w:t>2</w:t>
      </w:r>
      <w:r w:rsidR="003C466A" w:rsidRPr="00B844B2">
        <w:rPr>
          <w:rFonts w:ascii="Trebuchet MS" w:hAnsi="Trebuchet MS"/>
          <w:sz w:val="28"/>
          <w:szCs w:val="28"/>
        </w:rPr>
        <w:t>.</w:t>
      </w:r>
      <w:r w:rsidR="003F0B05" w:rsidRPr="00B844B2">
        <w:rPr>
          <w:rFonts w:ascii="Trebuchet MS" w:hAnsi="Trebuchet MS"/>
          <w:sz w:val="28"/>
          <w:szCs w:val="28"/>
        </w:rPr>
        <w:t xml:space="preserve"> </w:t>
      </w:r>
      <w:r w:rsidR="003F0B05" w:rsidRPr="00B844B2">
        <w:rPr>
          <w:rFonts w:ascii="Trebuchet MS" w:hAnsi="Trebuchet MS"/>
          <w:b/>
          <w:sz w:val="28"/>
          <w:szCs w:val="28"/>
        </w:rPr>
        <w:t>Information Sharing</w:t>
      </w:r>
      <w:r w:rsidR="003F0B05" w:rsidRPr="00B844B2">
        <w:rPr>
          <w:rFonts w:ascii="Trebuchet MS" w:hAnsi="Trebuchet MS"/>
          <w:sz w:val="28"/>
          <w:szCs w:val="28"/>
        </w:rPr>
        <w:t xml:space="preserve"> </w:t>
      </w:r>
    </w:p>
    <w:p w14:paraId="30879B62" w14:textId="169C6DCB" w:rsidR="00334CA6" w:rsidRDefault="00241828" w:rsidP="00DF7B4E">
      <w:pPr>
        <w:rPr>
          <w:rFonts w:ascii="Trebuchet MS" w:hAnsi="Trebuchet MS"/>
          <w:sz w:val="24"/>
          <w:szCs w:val="24"/>
        </w:rPr>
      </w:pPr>
      <w:r w:rsidRPr="00DF7B4E">
        <w:rPr>
          <w:rFonts w:ascii="Trebuchet MS" w:hAnsi="Trebuchet MS"/>
          <w:sz w:val="24"/>
          <w:szCs w:val="24"/>
        </w:rPr>
        <w:t>I</w:t>
      </w:r>
      <w:r w:rsidR="00B72081" w:rsidRPr="00DF7B4E">
        <w:rPr>
          <w:rFonts w:ascii="Trebuchet MS" w:hAnsi="Trebuchet MS"/>
          <w:sz w:val="24"/>
          <w:szCs w:val="24"/>
        </w:rPr>
        <w:t xml:space="preserve">f information is shared or disclosed it is done so in accordance with the </w:t>
      </w:r>
      <w:r w:rsidR="00EA61EB" w:rsidRPr="00DF7B4E">
        <w:rPr>
          <w:rFonts w:ascii="Trebuchet MS" w:hAnsi="Trebuchet MS"/>
          <w:sz w:val="24"/>
          <w:szCs w:val="24"/>
        </w:rPr>
        <w:t>law</w:t>
      </w:r>
      <w:r w:rsidR="00A8196A" w:rsidRPr="00DF7B4E">
        <w:rPr>
          <w:rFonts w:ascii="Trebuchet MS" w:hAnsi="Trebuchet MS"/>
          <w:sz w:val="24"/>
          <w:szCs w:val="24"/>
        </w:rPr>
        <w:t>, but</w:t>
      </w:r>
      <w:r w:rsidR="00B72081" w:rsidRPr="00DF7B4E">
        <w:rPr>
          <w:rFonts w:ascii="Trebuchet MS" w:hAnsi="Trebuchet MS"/>
          <w:sz w:val="24"/>
          <w:szCs w:val="24"/>
        </w:rPr>
        <w:t xml:space="preserve"> in such a way that allows appropriate and proportionate enquiries to be made that ensures adults with care and support needs are protected and public</w:t>
      </w:r>
      <w:r w:rsidR="008A5445" w:rsidRPr="00DF7B4E">
        <w:rPr>
          <w:rFonts w:ascii="Trebuchet MS" w:hAnsi="Trebuchet MS"/>
          <w:sz w:val="24"/>
          <w:szCs w:val="24"/>
        </w:rPr>
        <w:t xml:space="preserve"> confidence</w:t>
      </w:r>
      <w:r w:rsidR="00085EBA" w:rsidRPr="00DF7B4E">
        <w:rPr>
          <w:rFonts w:ascii="Trebuchet MS" w:hAnsi="Trebuchet MS"/>
          <w:sz w:val="24"/>
          <w:szCs w:val="24"/>
        </w:rPr>
        <w:t xml:space="preserve"> in services is maintained</w:t>
      </w:r>
      <w:r w:rsidR="00475EDE" w:rsidRPr="00DF7B4E">
        <w:rPr>
          <w:rFonts w:ascii="Trebuchet MS" w:hAnsi="Trebuchet MS"/>
          <w:sz w:val="24"/>
          <w:szCs w:val="24"/>
        </w:rPr>
        <w:t>.</w:t>
      </w:r>
      <w:r w:rsidR="00D51F84" w:rsidRPr="00DF7B4E">
        <w:rPr>
          <w:rFonts w:ascii="Trebuchet MS" w:hAnsi="Trebuchet MS"/>
          <w:sz w:val="24"/>
          <w:szCs w:val="24"/>
        </w:rPr>
        <w:t xml:space="preserve"> Appendix A offers some guidance around the Data Protection Act (1998) and GDPR. </w:t>
      </w:r>
    </w:p>
    <w:p w14:paraId="60AE120A" w14:textId="77777777" w:rsidR="00042FC3" w:rsidRDefault="00042FC3" w:rsidP="00042FC3">
      <w:pPr>
        <w:pStyle w:val="NoSpacing"/>
        <w:rPr>
          <w:rStyle w:val="Hyperlink"/>
          <w:rFonts w:ascii="Trebuchet MS" w:hAnsi="Trebuchet MS"/>
        </w:rPr>
      </w:pPr>
      <w:r>
        <w:rPr>
          <w:rFonts w:ascii="Trebuchet MS" w:hAnsi="Trebuchet MS"/>
          <w:sz w:val="24"/>
          <w:szCs w:val="24"/>
        </w:rPr>
        <w:t xml:space="preserve">Please also reference </w:t>
      </w:r>
      <w:hyperlink r:id="rId8" w:anchor="goldenrules" w:history="1">
        <w:r w:rsidRPr="00DD5F88">
          <w:rPr>
            <w:rStyle w:val="Hyperlink"/>
            <w:rFonts w:ascii="Trebuchet MS" w:hAnsi="Trebuchet MS"/>
          </w:rPr>
          <w:t>Social Care Institute for Excellence (2019) Safeguarding Adults: Sharing Information – Seven Golden Rules.</w:t>
        </w:r>
      </w:hyperlink>
    </w:p>
    <w:p w14:paraId="6E587E66" w14:textId="77777777" w:rsidR="00042FC3" w:rsidRDefault="00042FC3" w:rsidP="00042FC3">
      <w:pPr>
        <w:pStyle w:val="NoSpacing"/>
        <w:rPr>
          <w:rFonts w:ascii="Trebuchet MS" w:hAnsi="Trebuchet MS"/>
        </w:rPr>
      </w:pPr>
    </w:p>
    <w:p w14:paraId="2D1C4B66" w14:textId="4E162EBE" w:rsidR="00042FC3" w:rsidRPr="00DD5F88" w:rsidRDefault="00042FC3" w:rsidP="00042FC3">
      <w:pPr>
        <w:pStyle w:val="NoSpacing"/>
        <w:rPr>
          <w:rFonts w:ascii="Trebuchet MS" w:hAnsi="Trebuchet MS"/>
        </w:rPr>
      </w:pPr>
      <w:r>
        <w:rPr>
          <w:rFonts w:ascii="Trebuchet MS" w:hAnsi="Trebuchet MS"/>
        </w:rPr>
        <w:t xml:space="preserve">It is important to note that legislation such as GDPR is not a bar to information sharing but instead offers us a framework to ensure that it is proportionate and respects the rights of those involved. </w:t>
      </w:r>
      <w:r w:rsidRPr="00DD5F88">
        <w:rPr>
          <w:rFonts w:ascii="Trebuchet MS" w:hAnsi="Trebuchet MS"/>
        </w:rPr>
        <w:t xml:space="preserve"> </w:t>
      </w:r>
    </w:p>
    <w:p w14:paraId="00A46F23" w14:textId="77777777" w:rsidR="00042FC3" w:rsidRPr="00DF7B4E" w:rsidRDefault="00042FC3" w:rsidP="00DF7B4E">
      <w:pPr>
        <w:rPr>
          <w:rFonts w:ascii="Trebuchet MS" w:hAnsi="Trebuchet MS"/>
          <w:sz w:val="24"/>
          <w:szCs w:val="24"/>
        </w:rPr>
      </w:pPr>
    </w:p>
    <w:p w14:paraId="7E4294D9" w14:textId="1932D112" w:rsidR="005C45FE" w:rsidRDefault="00DF7B4E" w:rsidP="00B72081">
      <w:pPr>
        <w:rPr>
          <w:rFonts w:ascii="Trebuchet MS" w:hAnsi="Trebuchet MS"/>
          <w:b/>
          <w:sz w:val="28"/>
          <w:szCs w:val="28"/>
        </w:rPr>
      </w:pPr>
      <w:r>
        <w:rPr>
          <w:rFonts w:ascii="Trebuchet MS" w:hAnsi="Trebuchet MS"/>
          <w:b/>
          <w:sz w:val="28"/>
          <w:szCs w:val="28"/>
        </w:rPr>
        <w:t>3</w:t>
      </w:r>
      <w:r w:rsidR="00085EBA" w:rsidRPr="00B844B2">
        <w:rPr>
          <w:rFonts w:ascii="Trebuchet MS" w:hAnsi="Trebuchet MS"/>
          <w:b/>
          <w:sz w:val="28"/>
          <w:szCs w:val="28"/>
        </w:rPr>
        <w:t xml:space="preserve">. Responsibilities of Partner </w:t>
      </w:r>
      <w:r w:rsidR="00623B47">
        <w:rPr>
          <w:rFonts w:ascii="Trebuchet MS" w:hAnsi="Trebuchet MS"/>
          <w:b/>
          <w:sz w:val="28"/>
          <w:szCs w:val="28"/>
        </w:rPr>
        <w:t>A</w:t>
      </w:r>
      <w:r w:rsidR="00085EBA" w:rsidRPr="00B844B2">
        <w:rPr>
          <w:rFonts w:ascii="Trebuchet MS" w:hAnsi="Trebuchet MS"/>
          <w:b/>
          <w:sz w:val="28"/>
          <w:szCs w:val="28"/>
        </w:rPr>
        <w:t>gencies</w:t>
      </w:r>
      <w:r w:rsidR="005C45FE">
        <w:rPr>
          <w:rFonts w:ascii="Trebuchet MS" w:hAnsi="Trebuchet MS"/>
          <w:b/>
          <w:sz w:val="28"/>
          <w:szCs w:val="28"/>
        </w:rPr>
        <w:t xml:space="preserve"> </w:t>
      </w:r>
    </w:p>
    <w:p w14:paraId="4CD6A4D8" w14:textId="632DBF82" w:rsidR="00085EBA" w:rsidRPr="00BB63ED" w:rsidRDefault="00DF7B4E" w:rsidP="00B72081">
      <w:pPr>
        <w:rPr>
          <w:rFonts w:ascii="Trebuchet MS" w:hAnsi="Trebuchet MS"/>
          <w:b/>
          <w:sz w:val="24"/>
          <w:szCs w:val="24"/>
        </w:rPr>
      </w:pPr>
      <w:r>
        <w:rPr>
          <w:rFonts w:ascii="Trebuchet MS" w:hAnsi="Trebuchet MS"/>
          <w:b/>
          <w:sz w:val="24"/>
          <w:szCs w:val="24"/>
        </w:rPr>
        <w:t>3</w:t>
      </w:r>
      <w:r w:rsidR="00B23BE7" w:rsidRPr="00BB63ED">
        <w:rPr>
          <w:rFonts w:ascii="Trebuchet MS" w:hAnsi="Trebuchet MS"/>
          <w:b/>
          <w:sz w:val="24"/>
          <w:szCs w:val="24"/>
        </w:rPr>
        <w:t xml:space="preserve">.1 </w:t>
      </w:r>
      <w:r w:rsidR="00BB63ED" w:rsidRPr="00BB63ED">
        <w:rPr>
          <w:rFonts w:ascii="Trebuchet MS" w:hAnsi="Trebuchet MS"/>
          <w:b/>
          <w:sz w:val="24"/>
          <w:szCs w:val="24"/>
        </w:rPr>
        <w:t>R</w:t>
      </w:r>
      <w:r w:rsidR="005C45FE" w:rsidRPr="00BB63ED">
        <w:rPr>
          <w:rFonts w:ascii="Trebuchet MS" w:hAnsi="Trebuchet MS"/>
          <w:b/>
          <w:sz w:val="24"/>
          <w:szCs w:val="24"/>
        </w:rPr>
        <w:t xml:space="preserve">egarding Adults </w:t>
      </w:r>
    </w:p>
    <w:p w14:paraId="7C5C5722" w14:textId="2276DFE4" w:rsidR="00A8196A" w:rsidRPr="0050118D" w:rsidRDefault="00A8196A" w:rsidP="00A8196A">
      <w:pPr>
        <w:pStyle w:val="NoSpacing"/>
        <w:rPr>
          <w:rFonts w:ascii="Trebuchet MS" w:hAnsi="Trebuchet MS"/>
          <w:sz w:val="24"/>
          <w:szCs w:val="24"/>
        </w:rPr>
      </w:pPr>
      <w:r w:rsidRPr="0050118D">
        <w:rPr>
          <w:rFonts w:ascii="Trebuchet MS" w:hAnsi="Trebuchet MS"/>
          <w:sz w:val="24"/>
          <w:szCs w:val="24"/>
        </w:rPr>
        <w:t xml:space="preserve">The Enfield Safeguarding Adults Board </w:t>
      </w:r>
      <w:r w:rsidR="00D51F84">
        <w:rPr>
          <w:rFonts w:ascii="Trebuchet MS" w:hAnsi="Trebuchet MS"/>
          <w:sz w:val="24"/>
          <w:szCs w:val="24"/>
        </w:rPr>
        <w:t xml:space="preserve">(ESAB) </w:t>
      </w:r>
      <w:r w:rsidRPr="0050118D">
        <w:rPr>
          <w:rFonts w:ascii="Trebuchet MS" w:hAnsi="Trebuchet MS"/>
          <w:sz w:val="24"/>
          <w:szCs w:val="24"/>
        </w:rPr>
        <w:t>requires its partner agencies to be individually responsible for ensuring they adopt and implement this proto</w:t>
      </w:r>
      <w:r w:rsidR="00C6117F" w:rsidRPr="0050118D">
        <w:rPr>
          <w:rFonts w:ascii="Trebuchet MS" w:hAnsi="Trebuchet MS"/>
          <w:sz w:val="24"/>
          <w:szCs w:val="24"/>
        </w:rPr>
        <w:t>col</w:t>
      </w:r>
      <w:r w:rsidRPr="0050118D">
        <w:rPr>
          <w:rFonts w:ascii="Trebuchet MS" w:hAnsi="Trebuchet MS"/>
          <w:sz w:val="24"/>
          <w:szCs w:val="24"/>
        </w:rPr>
        <w:t xml:space="preserve"> </w:t>
      </w:r>
      <w:r w:rsidR="00E706C1" w:rsidRPr="0050118D">
        <w:rPr>
          <w:rFonts w:ascii="Trebuchet MS" w:hAnsi="Trebuchet MS"/>
          <w:sz w:val="24"/>
          <w:szCs w:val="24"/>
        </w:rPr>
        <w:t>and practice</w:t>
      </w:r>
      <w:r w:rsidR="00C6117F" w:rsidRPr="0050118D">
        <w:rPr>
          <w:rFonts w:ascii="Trebuchet MS" w:hAnsi="Trebuchet MS"/>
          <w:sz w:val="24"/>
          <w:szCs w:val="24"/>
        </w:rPr>
        <w:t xml:space="preserve"> guides</w:t>
      </w:r>
      <w:r w:rsidRPr="0050118D">
        <w:rPr>
          <w:rFonts w:ascii="Trebuchet MS" w:hAnsi="Trebuchet MS"/>
          <w:sz w:val="24"/>
          <w:szCs w:val="24"/>
        </w:rPr>
        <w:t xml:space="preserve"> and to maintain clear </w:t>
      </w:r>
      <w:r w:rsidR="00E706C1" w:rsidRPr="0050118D">
        <w:rPr>
          <w:rFonts w:ascii="Trebuchet MS" w:hAnsi="Trebuchet MS"/>
          <w:sz w:val="24"/>
          <w:szCs w:val="24"/>
        </w:rPr>
        <w:t>organizational</w:t>
      </w:r>
      <w:r w:rsidRPr="0050118D">
        <w:rPr>
          <w:rFonts w:ascii="Trebuchet MS" w:hAnsi="Trebuchet MS"/>
          <w:sz w:val="24"/>
          <w:szCs w:val="24"/>
        </w:rPr>
        <w:t xml:space="preserve"> procedures for dealing with </w:t>
      </w:r>
      <w:r w:rsidR="00D51F84">
        <w:rPr>
          <w:rFonts w:ascii="Trebuchet MS" w:hAnsi="Trebuchet MS"/>
          <w:sz w:val="24"/>
          <w:szCs w:val="24"/>
        </w:rPr>
        <w:t xml:space="preserve">allegations around Persons In Positions Of Trust that relate to adults. </w:t>
      </w:r>
    </w:p>
    <w:p w14:paraId="7D879EF2" w14:textId="77777777" w:rsidR="00A8196A" w:rsidRPr="0050118D" w:rsidRDefault="00A8196A" w:rsidP="00A8196A">
      <w:pPr>
        <w:pStyle w:val="NoSpacing"/>
        <w:rPr>
          <w:rFonts w:ascii="Trebuchet MS" w:hAnsi="Trebuchet MS"/>
          <w:sz w:val="24"/>
          <w:szCs w:val="24"/>
        </w:rPr>
      </w:pPr>
    </w:p>
    <w:p w14:paraId="36D74AC6" w14:textId="02A5214C" w:rsidR="00A8196A" w:rsidRPr="0050118D" w:rsidRDefault="00A8196A" w:rsidP="00A8196A">
      <w:pPr>
        <w:rPr>
          <w:rFonts w:ascii="Trebuchet MS" w:hAnsi="Trebuchet MS"/>
          <w:sz w:val="24"/>
          <w:szCs w:val="24"/>
        </w:rPr>
      </w:pPr>
      <w:r w:rsidRPr="0050118D">
        <w:rPr>
          <w:rFonts w:ascii="Trebuchet MS" w:hAnsi="Trebuchet MS"/>
          <w:sz w:val="24"/>
          <w:szCs w:val="24"/>
        </w:rPr>
        <w:t xml:space="preserve">The </w:t>
      </w:r>
      <w:r w:rsidR="00D93FBB" w:rsidRPr="0050118D">
        <w:rPr>
          <w:rFonts w:ascii="Trebuchet MS" w:hAnsi="Trebuchet MS"/>
          <w:sz w:val="24"/>
          <w:szCs w:val="24"/>
        </w:rPr>
        <w:t xml:space="preserve">Protocol </w:t>
      </w:r>
      <w:r w:rsidRPr="0050118D">
        <w:rPr>
          <w:rFonts w:ascii="Trebuchet MS" w:hAnsi="Trebuchet MS"/>
          <w:sz w:val="24"/>
          <w:szCs w:val="24"/>
        </w:rPr>
        <w:t>must be followed</w:t>
      </w:r>
      <w:r w:rsidR="00D51F84">
        <w:rPr>
          <w:rFonts w:ascii="Trebuchet MS" w:hAnsi="Trebuchet MS"/>
          <w:sz w:val="24"/>
          <w:szCs w:val="24"/>
        </w:rPr>
        <w:t>,</w:t>
      </w:r>
      <w:r w:rsidRPr="0050118D">
        <w:rPr>
          <w:rFonts w:ascii="Trebuchet MS" w:hAnsi="Trebuchet MS"/>
          <w:sz w:val="24"/>
          <w:szCs w:val="24"/>
        </w:rPr>
        <w:t xml:space="preserve"> in all cases</w:t>
      </w:r>
      <w:r w:rsidR="00D51F84">
        <w:rPr>
          <w:rFonts w:ascii="Trebuchet MS" w:hAnsi="Trebuchet MS"/>
          <w:sz w:val="24"/>
          <w:szCs w:val="24"/>
        </w:rPr>
        <w:t>,</w:t>
      </w:r>
      <w:r w:rsidRPr="0050118D">
        <w:rPr>
          <w:rFonts w:ascii="Trebuchet MS" w:hAnsi="Trebuchet MS"/>
          <w:sz w:val="24"/>
          <w:szCs w:val="24"/>
        </w:rPr>
        <w:t xml:space="preserve"> by the organisation which first becomes aware of a relevant allegation, where information (whether current or historical) is identified</w:t>
      </w:r>
      <w:r w:rsidR="00E706C1" w:rsidRPr="0050118D">
        <w:rPr>
          <w:rFonts w:ascii="Trebuchet MS" w:hAnsi="Trebuchet MS"/>
          <w:sz w:val="24"/>
          <w:szCs w:val="24"/>
        </w:rPr>
        <w:t>.</w:t>
      </w:r>
    </w:p>
    <w:p w14:paraId="728CE8D5" w14:textId="699C275C" w:rsidR="00E1527B" w:rsidRPr="0050118D" w:rsidRDefault="00DF7B4E" w:rsidP="00A8196A">
      <w:pPr>
        <w:rPr>
          <w:rFonts w:ascii="Trebuchet MS" w:hAnsi="Trebuchet MS"/>
          <w:b/>
          <w:sz w:val="24"/>
          <w:szCs w:val="24"/>
        </w:rPr>
      </w:pPr>
      <w:r>
        <w:rPr>
          <w:rFonts w:ascii="Trebuchet MS" w:hAnsi="Trebuchet MS"/>
          <w:b/>
          <w:sz w:val="24"/>
          <w:szCs w:val="24"/>
        </w:rPr>
        <w:t>3</w:t>
      </w:r>
      <w:r w:rsidR="00BB63ED" w:rsidRPr="0050118D">
        <w:rPr>
          <w:rFonts w:ascii="Trebuchet MS" w:hAnsi="Trebuchet MS"/>
          <w:b/>
          <w:sz w:val="24"/>
          <w:szCs w:val="24"/>
        </w:rPr>
        <w:t>.1</w:t>
      </w:r>
      <w:r w:rsidR="00BB63ED">
        <w:rPr>
          <w:rFonts w:ascii="Trebuchet MS" w:hAnsi="Trebuchet MS"/>
          <w:b/>
          <w:sz w:val="24"/>
          <w:szCs w:val="24"/>
        </w:rPr>
        <w:t xml:space="preserve">.1 </w:t>
      </w:r>
      <w:r w:rsidR="00BB63ED" w:rsidRPr="0050118D">
        <w:rPr>
          <w:rFonts w:ascii="Trebuchet MS" w:hAnsi="Trebuchet MS"/>
          <w:b/>
          <w:sz w:val="24"/>
          <w:szCs w:val="24"/>
        </w:rPr>
        <w:t>Clear</w:t>
      </w:r>
      <w:r w:rsidR="00CF61BD" w:rsidRPr="0050118D">
        <w:rPr>
          <w:rFonts w:ascii="Trebuchet MS" w:hAnsi="Trebuchet MS"/>
          <w:b/>
          <w:sz w:val="24"/>
          <w:szCs w:val="24"/>
        </w:rPr>
        <w:t xml:space="preserve"> </w:t>
      </w:r>
      <w:r w:rsidR="00E1527B" w:rsidRPr="0050118D">
        <w:rPr>
          <w:rFonts w:ascii="Trebuchet MS" w:hAnsi="Trebuchet MS"/>
          <w:b/>
          <w:sz w:val="24"/>
          <w:szCs w:val="24"/>
        </w:rPr>
        <w:t xml:space="preserve">procedures in </w:t>
      </w:r>
      <w:r w:rsidR="00C97F0F" w:rsidRPr="0050118D">
        <w:rPr>
          <w:rFonts w:ascii="Trebuchet MS" w:hAnsi="Trebuchet MS"/>
          <w:b/>
          <w:sz w:val="24"/>
          <w:szCs w:val="24"/>
        </w:rPr>
        <w:t>place:</w:t>
      </w:r>
    </w:p>
    <w:p w14:paraId="38B84D90" w14:textId="2B80AB06" w:rsidR="00E1527B" w:rsidRPr="0050118D" w:rsidRDefault="00C97F0F" w:rsidP="00C97F0F">
      <w:pPr>
        <w:tabs>
          <w:tab w:val="left" w:pos="869"/>
        </w:tabs>
        <w:ind w:right="117"/>
        <w:rPr>
          <w:rFonts w:ascii="Trebuchet MS" w:hAnsi="Trebuchet MS"/>
          <w:sz w:val="24"/>
          <w:szCs w:val="24"/>
        </w:rPr>
      </w:pPr>
      <w:r w:rsidRPr="0050118D">
        <w:rPr>
          <w:rFonts w:ascii="Trebuchet MS" w:hAnsi="Trebuchet MS"/>
          <w:sz w:val="24"/>
          <w:szCs w:val="24"/>
        </w:rPr>
        <w:t xml:space="preserve">All ESAB partners </w:t>
      </w:r>
      <w:r w:rsidR="00E1527B" w:rsidRPr="0050118D">
        <w:rPr>
          <w:rFonts w:ascii="Trebuchet MS" w:hAnsi="Trebuchet MS"/>
          <w:sz w:val="24"/>
          <w:szCs w:val="24"/>
        </w:rPr>
        <w:t>should have clear procedures in place setting out the process, including timescales, for investigation and what support and advice will be available to individuals against whom allegations have been</w:t>
      </w:r>
      <w:r w:rsidR="00E1527B" w:rsidRPr="0050118D">
        <w:rPr>
          <w:rFonts w:ascii="Trebuchet MS" w:hAnsi="Trebuchet MS"/>
          <w:spacing w:val="-5"/>
          <w:sz w:val="24"/>
          <w:szCs w:val="24"/>
        </w:rPr>
        <w:t xml:space="preserve"> </w:t>
      </w:r>
      <w:r w:rsidR="00E1527B" w:rsidRPr="0050118D">
        <w:rPr>
          <w:rFonts w:ascii="Trebuchet MS" w:hAnsi="Trebuchet MS"/>
          <w:sz w:val="24"/>
          <w:szCs w:val="24"/>
        </w:rPr>
        <w:t>made.</w:t>
      </w:r>
    </w:p>
    <w:p w14:paraId="7E3F6A4B" w14:textId="3AE1F262" w:rsidR="00CA0421" w:rsidRDefault="00DF7B4E" w:rsidP="00CA0421">
      <w:pPr>
        <w:tabs>
          <w:tab w:val="left" w:pos="869"/>
        </w:tabs>
        <w:ind w:right="117"/>
        <w:rPr>
          <w:rFonts w:ascii="Trebuchet MS" w:hAnsi="Trebuchet MS"/>
          <w:b/>
          <w:sz w:val="24"/>
          <w:szCs w:val="24"/>
        </w:rPr>
      </w:pPr>
      <w:r>
        <w:rPr>
          <w:rFonts w:ascii="Trebuchet MS" w:hAnsi="Trebuchet MS"/>
          <w:b/>
          <w:sz w:val="24"/>
          <w:szCs w:val="24"/>
        </w:rPr>
        <w:t>3</w:t>
      </w:r>
      <w:r w:rsidR="00763FCF" w:rsidRPr="0050118D">
        <w:rPr>
          <w:rFonts w:ascii="Trebuchet MS" w:hAnsi="Trebuchet MS"/>
          <w:b/>
          <w:sz w:val="24"/>
          <w:szCs w:val="24"/>
        </w:rPr>
        <w:t>.</w:t>
      </w:r>
      <w:r w:rsidR="00B23BE7">
        <w:rPr>
          <w:rFonts w:ascii="Trebuchet MS" w:hAnsi="Trebuchet MS"/>
          <w:b/>
          <w:sz w:val="24"/>
          <w:szCs w:val="24"/>
        </w:rPr>
        <w:t>1.</w:t>
      </w:r>
      <w:r w:rsidR="00763FCF" w:rsidRPr="0050118D">
        <w:rPr>
          <w:rFonts w:ascii="Trebuchet MS" w:hAnsi="Trebuchet MS"/>
          <w:b/>
          <w:sz w:val="24"/>
          <w:szCs w:val="24"/>
        </w:rPr>
        <w:t xml:space="preserve">2: Risk assessment and </w:t>
      </w:r>
      <w:r w:rsidR="009D759C" w:rsidRPr="0050118D">
        <w:rPr>
          <w:rFonts w:ascii="Trebuchet MS" w:hAnsi="Trebuchet MS"/>
          <w:b/>
          <w:sz w:val="24"/>
          <w:szCs w:val="24"/>
        </w:rPr>
        <w:t>acting</w:t>
      </w:r>
      <w:r w:rsidR="000D61BF" w:rsidRPr="0050118D">
        <w:rPr>
          <w:rFonts w:ascii="Trebuchet MS" w:hAnsi="Trebuchet MS"/>
          <w:b/>
          <w:sz w:val="24"/>
          <w:szCs w:val="24"/>
        </w:rPr>
        <w:t>:</w:t>
      </w:r>
    </w:p>
    <w:p w14:paraId="518F9394" w14:textId="3B0BCECB" w:rsidR="00AC30CD" w:rsidRPr="0050118D" w:rsidRDefault="000D61BF" w:rsidP="00D51F84">
      <w:pPr>
        <w:tabs>
          <w:tab w:val="left" w:pos="869"/>
        </w:tabs>
        <w:ind w:right="117"/>
        <w:rPr>
          <w:rFonts w:ascii="Trebuchet MS" w:hAnsi="Trebuchet MS"/>
          <w:sz w:val="24"/>
          <w:szCs w:val="24"/>
        </w:rPr>
      </w:pPr>
      <w:r w:rsidRPr="0050118D">
        <w:rPr>
          <w:rFonts w:ascii="Trebuchet MS" w:hAnsi="Trebuchet MS"/>
          <w:sz w:val="24"/>
          <w:szCs w:val="24"/>
        </w:rPr>
        <w:t xml:space="preserve">All ESAB partners are required to assess any potential risk </w:t>
      </w:r>
      <w:r w:rsidR="00B60F18" w:rsidRPr="0050118D">
        <w:rPr>
          <w:rFonts w:ascii="Trebuchet MS" w:hAnsi="Trebuchet MS"/>
          <w:sz w:val="24"/>
          <w:szCs w:val="24"/>
        </w:rPr>
        <w:t>imposed by the PIPOT to adults</w:t>
      </w:r>
      <w:r w:rsidRPr="0050118D">
        <w:rPr>
          <w:rFonts w:ascii="Trebuchet MS" w:hAnsi="Trebuchet MS"/>
          <w:sz w:val="24"/>
          <w:szCs w:val="24"/>
        </w:rPr>
        <w:t xml:space="preserve"> with care and support needs who use their services, and, if necessary, to </w:t>
      </w:r>
      <w:r w:rsidR="0007772C" w:rsidRPr="0050118D">
        <w:rPr>
          <w:rFonts w:ascii="Trebuchet MS" w:hAnsi="Trebuchet MS"/>
          <w:sz w:val="24"/>
          <w:szCs w:val="24"/>
        </w:rPr>
        <w:t>act</w:t>
      </w:r>
      <w:r w:rsidRPr="0050118D">
        <w:rPr>
          <w:rFonts w:ascii="Trebuchet MS" w:hAnsi="Trebuchet MS"/>
          <w:sz w:val="24"/>
          <w:szCs w:val="24"/>
        </w:rPr>
        <w:t xml:space="preserve"> to safeguard those</w:t>
      </w:r>
      <w:r w:rsidRPr="0050118D">
        <w:rPr>
          <w:rFonts w:ascii="Trebuchet MS" w:hAnsi="Trebuchet MS"/>
          <w:spacing w:val="-5"/>
          <w:sz w:val="24"/>
          <w:szCs w:val="24"/>
        </w:rPr>
        <w:t xml:space="preserve"> </w:t>
      </w:r>
      <w:r w:rsidRPr="0050118D">
        <w:rPr>
          <w:rFonts w:ascii="Trebuchet MS" w:hAnsi="Trebuchet MS"/>
          <w:sz w:val="24"/>
          <w:szCs w:val="24"/>
        </w:rPr>
        <w:t>adults</w:t>
      </w:r>
      <w:r w:rsidR="00D51F84">
        <w:rPr>
          <w:rFonts w:ascii="Trebuchet MS" w:hAnsi="Trebuchet MS"/>
          <w:sz w:val="24"/>
          <w:szCs w:val="24"/>
        </w:rPr>
        <w:t xml:space="preserve"> in a prompt and robust way. </w:t>
      </w:r>
    </w:p>
    <w:p w14:paraId="5EAD930D" w14:textId="244EBEAC" w:rsidR="00AC30CD" w:rsidRPr="0050118D" w:rsidRDefault="00DF7B4E" w:rsidP="000D61BF">
      <w:pPr>
        <w:pStyle w:val="NoSpacing"/>
        <w:rPr>
          <w:rFonts w:ascii="Trebuchet MS" w:hAnsi="Trebuchet MS"/>
          <w:b/>
          <w:sz w:val="24"/>
          <w:szCs w:val="24"/>
        </w:rPr>
      </w:pPr>
      <w:r>
        <w:rPr>
          <w:rFonts w:ascii="Trebuchet MS" w:hAnsi="Trebuchet MS"/>
          <w:b/>
          <w:sz w:val="24"/>
          <w:szCs w:val="24"/>
        </w:rPr>
        <w:lastRenderedPageBreak/>
        <w:t>3</w:t>
      </w:r>
      <w:r w:rsidR="002B4CC6">
        <w:rPr>
          <w:rFonts w:ascii="Trebuchet MS" w:hAnsi="Trebuchet MS"/>
          <w:b/>
          <w:sz w:val="24"/>
          <w:szCs w:val="24"/>
        </w:rPr>
        <w:t>.1.</w:t>
      </w:r>
      <w:r w:rsidR="002B4CC6" w:rsidRPr="0050118D">
        <w:rPr>
          <w:rFonts w:ascii="Trebuchet MS" w:hAnsi="Trebuchet MS"/>
          <w:b/>
          <w:sz w:val="24"/>
          <w:szCs w:val="24"/>
        </w:rPr>
        <w:t xml:space="preserve">3 </w:t>
      </w:r>
      <w:r w:rsidR="002B4CC6">
        <w:rPr>
          <w:rFonts w:ascii="Trebuchet MS" w:hAnsi="Trebuchet MS"/>
          <w:b/>
          <w:sz w:val="24"/>
          <w:szCs w:val="24"/>
        </w:rPr>
        <w:t>Adult</w:t>
      </w:r>
      <w:r w:rsidR="00932995">
        <w:rPr>
          <w:rFonts w:ascii="Trebuchet MS" w:hAnsi="Trebuchet MS"/>
          <w:b/>
          <w:sz w:val="24"/>
          <w:szCs w:val="24"/>
        </w:rPr>
        <w:t xml:space="preserve"> PIPOT L</w:t>
      </w:r>
      <w:r w:rsidR="002224B0">
        <w:rPr>
          <w:rFonts w:ascii="Trebuchet MS" w:hAnsi="Trebuchet MS"/>
          <w:b/>
          <w:sz w:val="24"/>
          <w:szCs w:val="24"/>
        </w:rPr>
        <w:t>eads</w:t>
      </w:r>
    </w:p>
    <w:p w14:paraId="10998C76" w14:textId="77777777" w:rsidR="00CA0421" w:rsidRDefault="00CA0421" w:rsidP="006B3999">
      <w:pPr>
        <w:pStyle w:val="NoSpacing"/>
        <w:rPr>
          <w:sz w:val="24"/>
          <w:szCs w:val="24"/>
        </w:rPr>
      </w:pPr>
    </w:p>
    <w:p w14:paraId="753A7CDC" w14:textId="61446755" w:rsidR="006B3999" w:rsidRDefault="006A0D77" w:rsidP="006B3999">
      <w:pPr>
        <w:pStyle w:val="NoSpacing"/>
        <w:rPr>
          <w:rFonts w:ascii="Trebuchet MS" w:hAnsi="Trebuchet MS"/>
          <w:sz w:val="24"/>
          <w:szCs w:val="24"/>
        </w:rPr>
      </w:pPr>
      <w:r w:rsidRPr="00B844B2">
        <w:rPr>
          <w:rFonts w:ascii="Trebuchet MS" w:hAnsi="Trebuchet MS"/>
          <w:sz w:val="24"/>
          <w:szCs w:val="24"/>
        </w:rPr>
        <w:t>The Enfield</w:t>
      </w:r>
      <w:r w:rsidR="006B3999" w:rsidRPr="00B844B2">
        <w:rPr>
          <w:rFonts w:ascii="Trebuchet MS" w:hAnsi="Trebuchet MS"/>
          <w:sz w:val="24"/>
          <w:szCs w:val="24"/>
        </w:rPr>
        <w:t xml:space="preserve"> Safeguarding Adults Board also requires partner agencies</w:t>
      </w:r>
      <w:r w:rsidR="00D51F84">
        <w:rPr>
          <w:rFonts w:ascii="Trebuchet MS" w:hAnsi="Trebuchet MS"/>
          <w:sz w:val="24"/>
          <w:szCs w:val="24"/>
        </w:rPr>
        <w:t>,</w:t>
      </w:r>
      <w:r w:rsidR="006B3999" w:rsidRPr="00B844B2">
        <w:rPr>
          <w:rFonts w:ascii="Trebuchet MS" w:hAnsi="Trebuchet MS"/>
          <w:sz w:val="24"/>
          <w:szCs w:val="24"/>
        </w:rPr>
        <w:t xml:space="preserve"> and the service providers they commission</w:t>
      </w:r>
      <w:r w:rsidR="00D51F84">
        <w:rPr>
          <w:rFonts w:ascii="Trebuchet MS" w:hAnsi="Trebuchet MS"/>
          <w:sz w:val="24"/>
          <w:szCs w:val="24"/>
        </w:rPr>
        <w:t>,</w:t>
      </w:r>
      <w:r w:rsidR="006B3999" w:rsidRPr="00B844B2">
        <w:rPr>
          <w:rFonts w:ascii="Trebuchet MS" w:hAnsi="Trebuchet MS"/>
          <w:sz w:val="24"/>
          <w:szCs w:val="24"/>
        </w:rPr>
        <w:t xml:space="preserve"> to identify a designated person to oversee the delivery of responsibilities in their organisation i.e. an Adult P</w:t>
      </w:r>
      <w:r w:rsidR="00C5175D">
        <w:rPr>
          <w:rFonts w:ascii="Trebuchet MS" w:hAnsi="Trebuchet MS"/>
          <w:sz w:val="24"/>
          <w:szCs w:val="24"/>
        </w:rPr>
        <w:t>I</w:t>
      </w:r>
      <w:r w:rsidR="006B3999" w:rsidRPr="00B844B2">
        <w:rPr>
          <w:rFonts w:ascii="Trebuchet MS" w:hAnsi="Trebuchet MS"/>
          <w:sz w:val="24"/>
          <w:szCs w:val="24"/>
        </w:rPr>
        <w:t>P</w:t>
      </w:r>
      <w:r w:rsidR="00C5175D">
        <w:rPr>
          <w:rFonts w:ascii="Trebuchet MS" w:hAnsi="Trebuchet MS"/>
          <w:sz w:val="24"/>
          <w:szCs w:val="24"/>
        </w:rPr>
        <w:t>O</w:t>
      </w:r>
      <w:r w:rsidR="006B3999" w:rsidRPr="00B844B2">
        <w:rPr>
          <w:rFonts w:ascii="Trebuchet MS" w:hAnsi="Trebuchet MS"/>
          <w:sz w:val="24"/>
          <w:szCs w:val="24"/>
        </w:rPr>
        <w:t>T</w:t>
      </w:r>
      <w:r w:rsidR="006B3999" w:rsidRPr="00B844B2">
        <w:rPr>
          <w:rFonts w:ascii="Trebuchet MS" w:hAnsi="Trebuchet MS"/>
          <w:spacing w:val="-1"/>
          <w:sz w:val="24"/>
          <w:szCs w:val="24"/>
        </w:rPr>
        <w:t xml:space="preserve"> </w:t>
      </w:r>
      <w:r w:rsidR="006B3999" w:rsidRPr="00B844B2">
        <w:rPr>
          <w:rFonts w:ascii="Trebuchet MS" w:hAnsi="Trebuchet MS"/>
          <w:sz w:val="24"/>
          <w:szCs w:val="24"/>
        </w:rPr>
        <w:t>Lead.</w:t>
      </w:r>
    </w:p>
    <w:p w14:paraId="183D1294" w14:textId="79FE846A" w:rsidR="00DF0BC1" w:rsidRDefault="00DF0BC1" w:rsidP="006B3999">
      <w:pPr>
        <w:pStyle w:val="NoSpacing"/>
        <w:rPr>
          <w:rFonts w:ascii="Trebuchet MS" w:hAnsi="Trebuchet MS"/>
          <w:sz w:val="24"/>
          <w:szCs w:val="24"/>
        </w:rPr>
      </w:pPr>
    </w:p>
    <w:p w14:paraId="6E727257" w14:textId="08701158" w:rsidR="00DF0BC1" w:rsidRPr="00B844B2" w:rsidRDefault="00DF0BC1" w:rsidP="006B3999">
      <w:pPr>
        <w:pStyle w:val="NoSpacing"/>
        <w:rPr>
          <w:rFonts w:ascii="Trebuchet MS" w:hAnsi="Trebuchet MS"/>
          <w:sz w:val="24"/>
          <w:szCs w:val="24"/>
        </w:rPr>
      </w:pPr>
      <w:r>
        <w:rPr>
          <w:rFonts w:ascii="Trebuchet MS" w:hAnsi="Trebuchet MS"/>
          <w:sz w:val="24"/>
          <w:szCs w:val="24"/>
        </w:rPr>
        <w:t xml:space="preserve">To contact the London Borough of Enfield PIPOT lead, please e-mail </w:t>
      </w:r>
      <w:hyperlink r:id="rId9" w:history="1">
        <w:r w:rsidRPr="009812EB">
          <w:rPr>
            <w:rStyle w:val="Hyperlink"/>
            <w:rFonts w:ascii="Trebuchet MS" w:hAnsi="Trebuchet MS"/>
            <w:sz w:val="24"/>
            <w:szCs w:val="24"/>
          </w:rPr>
          <w:t>safeguardingadults@enfield.gov.uk</w:t>
        </w:r>
      </w:hyperlink>
      <w:r>
        <w:rPr>
          <w:rFonts w:ascii="Trebuchet MS" w:hAnsi="Trebuchet MS"/>
          <w:sz w:val="24"/>
          <w:szCs w:val="24"/>
        </w:rPr>
        <w:t xml:space="preserve"> to request a referral form or someone to call you back to discuss the case. </w:t>
      </w:r>
    </w:p>
    <w:p w14:paraId="07463457" w14:textId="1E70E2D9" w:rsidR="006A0D77" w:rsidRDefault="006A0D77" w:rsidP="006B3999">
      <w:pPr>
        <w:pStyle w:val="NoSpacing"/>
        <w:rPr>
          <w:sz w:val="24"/>
          <w:szCs w:val="24"/>
        </w:rPr>
      </w:pPr>
    </w:p>
    <w:p w14:paraId="0130B5A6" w14:textId="180F39F2" w:rsidR="006A0D77" w:rsidRPr="00CA0421" w:rsidRDefault="00DF7B4E" w:rsidP="00DF7B4E">
      <w:pPr>
        <w:pStyle w:val="NoSpacing"/>
        <w:rPr>
          <w:rFonts w:ascii="Trebuchet MS" w:hAnsi="Trebuchet MS"/>
          <w:b/>
          <w:sz w:val="24"/>
          <w:szCs w:val="24"/>
        </w:rPr>
      </w:pPr>
      <w:r>
        <w:rPr>
          <w:rFonts w:ascii="Trebuchet MS" w:hAnsi="Trebuchet MS"/>
          <w:b/>
          <w:sz w:val="24"/>
          <w:szCs w:val="24"/>
        </w:rPr>
        <w:t>3.</w:t>
      </w:r>
      <w:r w:rsidR="00226F54">
        <w:rPr>
          <w:rFonts w:ascii="Trebuchet MS" w:hAnsi="Trebuchet MS"/>
          <w:b/>
          <w:sz w:val="24"/>
          <w:szCs w:val="24"/>
        </w:rPr>
        <w:t>1.</w:t>
      </w:r>
      <w:r w:rsidR="006A0D77" w:rsidRPr="00CA0421">
        <w:rPr>
          <w:rFonts w:ascii="Trebuchet MS" w:hAnsi="Trebuchet MS"/>
          <w:b/>
          <w:sz w:val="24"/>
          <w:szCs w:val="24"/>
        </w:rPr>
        <w:t>4 Sharing information:</w:t>
      </w:r>
    </w:p>
    <w:p w14:paraId="52BF8EF0" w14:textId="77777777" w:rsidR="00CA0421" w:rsidRPr="00CA0421" w:rsidRDefault="00CA0421" w:rsidP="00296D07">
      <w:pPr>
        <w:pStyle w:val="NoSpacing"/>
        <w:rPr>
          <w:rFonts w:ascii="Trebuchet MS" w:hAnsi="Trebuchet MS"/>
          <w:sz w:val="24"/>
          <w:szCs w:val="24"/>
        </w:rPr>
      </w:pPr>
    </w:p>
    <w:p w14:paraId="4C63021B" w14:textId="77777777" w:rsidR="00042FC3" w:rsidRDefault="00296D07" w:rsidP="00296D07">
      <w:pPr>
        <w:pStyle w:val="NoSpacing"/>
        <w:rPr>
          <w:rFonts w:ascii="Trebuchet MS" w:hAnsi="Trebuchet MS"/>
          <w:sz w:val="24"/>
          <w:szCs w:val="24"/>
        </w:rPr>
      </w:pPr>
      <w:r w:rsidRPr="00CA0421">
        <w:rPr>
          <w:rFonts w:ascii="Trebuchet MS" w:hAnsi="Trebuchet MS"/>
          <w:sz w:val="24"/>
          <w:szCs w:val="24"/>
        </w:rPr>
        <w:t>Dealing with such situations can be complex</w:t>
      </w:r>
      <w:r w:rsidR="00042FC3">
        <w:rPr>
          <w:rFonts w:ascii="Trebuchet MS" w:hAnsi="Trebuchet MS"/>
          <w:sz w:val="24"/>
          <w:szCs w:val="24"/>
        </w:rPr>
        <w:t xml:space="preserve"> </w:t>
      </w:r>
      <w:r w:rsidRPr="00CA0421">
        <w:rPr>
          <w:rFonts w:ascii="Trebuchet MS" w:hAnsi="Trebuchet MS"/>
          <w:sz w:val="24"/>
          <w:szCs w:val="24"/>
        </w:rPr>
        <w:t xml:space="preserve">due to the competing requirements of balancing individual rights to confidentiality against obligations to disclose information in order to safeguard adults at risk. </w:t>
      </w:r>
    </w:p>
    <w:p w14:paraId="01BCDDA5" w14:textId="77777777" w:rsidR="00042FC3" w:rsidRDefault="00042FC3" w:rsidP="00296D07">
      <w:pPr>
        <w:pStyle w:val="NoSpacing"/>
        <w:rPr>
          <w:rFonts w:ascii="Trebuchet MS" w:hAnsi="Trebuchet MS"/>
          <w:sz w:val="24"/>
          <w:szCs w:val="24"/>
        </w:rPr>
      </w:pPr>
    </w:p>
    <w:p w14:paraId="36670C43" w14:textId="77777777" w:rsidR="00042FC3" w:rsidRDefault="00296D07" w:rsidP="00296D07">
      <w:pPr>
        <w:pStyle w:val="NoSpacing"/>
        <w:rPr>
          <w:rFonts w:ascii="Trebuchet MS" w:hAnsi="Trebuchet MS"/>
          <w:sz w:val="24"/>
          <w:szCs w:val="24"/>
        </w:rPr>
      </w:pPr>
      <w:r w:rsidRPr="00CA0421">
        <w:rPr>
          <w:rFonts w:ascii="Trebuchet MS" w:hAnsi="Trebuchet MS"/>
          <w:sz w:val="24"/>
          <w:szCs w:val="24"/>
        </w:rPr>
        <w:t>Partner agencies and the service providers they commission are individually responsible for ensuring that information relating to adult Position of Trust concerns are shared and escalated outside of their organisation where this is required and appropriate.</w:t>
      </w:r>
    </w:p>
    <w:p w14:paraId="13749F41" w14:textId="77777777" w:rsidR="00042FC3" w:rsidRDefault="00042FC3" w:rsidP="00296D07">
      <w:pPr>
        <w:pStyle w:val="NoSpacing"/>
        <w:rPr>
          <w:rFonts w:ascii="Trebuchet MS" w:hAnsi="Trebuchet MS"/>
          <w:sz w:val="24"/>
          <w:szCs w:val="24"/>
        </w:rPr>
      </w:pPr>
    </w:p>
    <w:p w14:paraId="37F737EA" w14:textId="70534001" w:rsidR="00296D07" w:rsidRDefault="00296D07" w:rsidP="00296D07">
      <w:pPr>
        <w:pStyle w:val="NoSpacing"/>
        <w:rPr>
          <w:sz w:val="24"/>
          <w:szCs w:val="24"/>
        </w:rPr>
      </w:pPr>
      <w:r w:rsidRPr="00CA0421">
        <w:rPr>
          <w:rFonts w:ascii="Trebuchet MS" w:hAnsi="Trebuchet MS"/>
          <w:sz w:val="24"/>
          <w:szCs w:val="24"/>
        </w:rPr>
        <w:t xml:space="preserve"> Each case must be dealt with on its own facts and with reference to relevant legislation and Information Sharing Protocols</w:t>
      </w:r>
      <w:r w:rsidR="00042FC3">
        <w:rPr>
          <w:rFonts w:ascii="Trebuchet MS" w:hAnsi="Trebuchet MS"/>
          <w:sz w:val="24"/>
          <w:szCs w:val="24"/>
        </w:rPr>
        <w:t>,</w:t>
      </w:r>
      <w:r w:rsidRPr="00CA0421">
        <w:rPr>
          <w:rFonts w:ascii="Trebuchet MS" w:hAnsi="Trebuchet MS"/>
          <w:sz w:val="24"/>
          <w:szCs w:val="24"/>
        </w:rPr>
        <w:t xml:space="preserve"> particularly when making a decision to disclose confidential information, in order to demonstrate justification and proportionality</w:t>
      </w:r>
      <w:r w:rsidRPr="008C2134">
        <w:rPr>
          <w:sz w:val="24"/>
          <w:szCs w:val="24"/>
        </w:rPr>
        <w:t xml:space="preserve">. </w:t>
      </w:r>
      <w:r w:rsidR="00042FC3" w:rsidRPr="00042FC3">
        <w:rPr>
          <w:rFonts w:ascii="Trebuchet MS" w:hAnsi="Trebuchet MS"/>
          <w:sz w:val="24"/>
          <w:szCs w:val="24"/>
        </w:rPr>
        <w:t>Decision making must be carefully evidenced – some suggested templates are attached as Appendixes.</w:t>
      </w:r>
      <w:r w:rsidR="00042FC3">
        <w:rPr>
          <w:sz w:val="24"/>
          <w:szCs w:val="24"/>
        </w:rPr>
        <w:t xml:space="preserve"> </w:t>
      </w:r>
    </w:p>
    <w:p w14:paraId="26D9F6DD" w14:textId="77777777" w:rsidR="00B844B2" w:rsidRDefault="00B844B2" w:rsidP="00296D07">
      <w:pPr>
        <w:pStyle w:val="NoSpacing"/>
        <w:rPr>
          <w:b/>
          <w:sz w:val="24"/>
          <w:szCs w:val="24"/>
        </w:rPr>
      </w:pPr>
    </w:p>
    <w:p w14:paraId="0CA78B6C" w14:textId="135D117F" w:rsidR="00BE6D4A" w:rsidRPr="00B844B2" w:rsidRDefault="00DF7B4E" w:rsidP="00BE6D4A">
      <w:pPr>
        <w:pStyle w:val="NoSpacing"/>
        <w:rPr>
          <w:rFonts w:ascii="Trebuchet MS" w:hAnsi="Trebuchet MS"/>
          <w:sz w:val="24"/>
          <w:szCs w:val="24"/>
        </w:rPr>
      </w:pPr>
      <w:r>
        <w:rPr>
          <w:rFonts w:ascii="Trebuchet MS" w:hAnsi="Trebuchet MS"/>
          <w:b/>
          <w:sz w:val="24"/>
          <w:szCs w:val="24"/>
        </w:rPr>
        <w:t>3</w:t>
      </w:r>
      <w:r w:rsidR="00296D07" w:rsidRPr="00B844B2">
        <w:rPr>
          <w:rFonts w:ascii="Trebuchet MS" w:hAnsi="Trebuchet MS"/>
          <w:b/>
          <w:sz w:val="24"/>
          <w:szCs w:val="24"/>
        </w:rPr>
        <w:t>.</w:t>
      </w:r>
      <w:r w:rsidR="00226F54">
        <w:rPr>
          <w:rFonts w:ascii="Trebuchet MS" w:hAnsi="Trebuchet MS"/>
          <w:b/>
          <w:sz w:val="24"/>
          <w:szCs w:val="24"/>
        </w:rPr>
        <w:t>1.</w:t>
      </w:r>
      <w:r w:rsidR="00296D07" w:rsidRPr="00B844B2">
        <w:rPr>
          <w:rFonts w:ascii="Trebuchet MS" w:hAnsi="Trebuchet MS"/>
          <w:b/>
          <w:sz w:val="24"/>
          <w:szCs w:val="24"/>
        </w:rPr>
        <w:t>5</w:t>
      </w:r>
      <w:r w:rsidR="00296D07" w:rsidRPr="00B844B2">
        <w:rPr>
          <w:rFonts w:ascii="Trebuchet MS" w:hAnsi="Trebuchet MS"/>
          <w:b/>
          <w:sz w:val="24"/>
          <w:szCs w:val="24"/>
        </w:rPr>
        <w:tab/>
        <w:t>Obtaining legal advice:</w:t>
      </w:r>
    </w:p>
    <w:p w14:paraId="378F4CA3" w14:textId="77777777" w:rsidR="00B844B2" w:rsidRPr="00B844B2" w:rsidRDefault="00B844B2" w:rsidP="00B844B2">
      <w:pPr>
        <w:pStyle w:val="NoSpacing"/>
        <w:rPr>
          <w:rFonts w:ascii="Trebuchet MS" w:hAnsi="Trebuchet MS"/>
          <w:sz w:val="24"/>
          <w:szCs w:val="24"/>
        </w:rPr>
      </w:pPr>
    </w:p>
    <w:p w14:paraId="68518B95" w14:textId="0E3D1034" w:rsidR="00BE6D4A" w:rsidRPr="00B844B2" w:rsidRDefault="00BE6D4A" w:rsidP="00BE6D4A">
      <w:pPr>
        <w:pStyle w:val="NoSpacing"/>
        <w:rPr>
          <w:rFonts w:ascii="Trebuchet MS" w:hAnsi="Trebuchet MS"/>
          <w:sz w:val="24"/>
          <w:szCs w:val="24"/>
        </w:rPr>
      </w:pPr>
      <w:r w:rsidRPr="00B844B2">
        <w:rPr>
          <w:rFonts w:ascii="Trebuchet MS" w:hAnsi="Trebuchet MS"/>
          <w:sz w:val="24"/>
          <w:szCs w:val="24"/>
        </w:rPr>
        <w:t xml:space="preserve">Legal advice may be </w:t>
      </w:r>
      <w:r w:rsidR="00DF7B4E">
        <w:rPr>
          <w:rFonts w:ascii="Trebuchet MS" w:hAnsi="Trebuchet MS"/>
          <w:sz w:val="24"/>
          <w:szCs w:val="24"/>
        </w:rPr>
        <w:t>(and where there is doubt as to how to proceed</w:t>
      </w:r>
      <w:r w:rsidR="00042FC3">
        <w:rPr>
          <w:rFonts w:ascii="Trebuchet MS" w:hAnsi="Trebuchet MS"/>
          <w:sz w:val="24"/>
          <w:szCs w:val="24"/>
        </w:rPr>
        <w:t xml:space="preserve"> it should be</w:t>
      </w:r>
      <w:r w:rsidR="00DF7B4E">
        <w:rPr>
          <w:rFonts w:ascii="Trebuchet MS" w:hAnsi="Trebuchet MS"/>
          <w:sz w:val="24"/>
          <w:szCs w:val="24"/>
        </w:rPr>
        <w:t xml:space="preserve">) </w:t>
      </w:r>
      <w:r w:rsidRPr="00B844B2">
        <w:rPr>
          <w:rFonts w:ascii="Trebuchet MS" w:hAnsi="Trebuchet MS"/>
          <w:sz w:val="24"/>
          <w:szCs w:val="24"/>
        </w:rPr>
        <w:t>sought due to the legal complexities involved and to ensure an organisation is acting in accordance with the</w:t>
      </w:r>
      <w:r w:rsidRPr="00B844B2">
        <w:rPr>
          <w:rFonts w:ascii="Trebuchet MS" w:hAnsi="Trebuchet MS"/>
          <w:spacing w:val="-3"/>
          <w:sz w:val="24"/>
          <w:szCs w:val="24"/>
        </w:rPr>
        <w:t xml:space="preserve"> </w:t>
      </w:r>
      <w:r w:rsidRPr="00B844B2">
        <w:rPr>
          <w:rFonts w:ascii="Trebuchet MS" w:hAnsi="Trebuchet MS"/>
          <w:sz w:val="24"/>
          <w:szCs w:val="24"/>
        </w:rPr>
        <w:t>law.</w:t>
      </w:r>
      <w:r w:rsidR="00DF7B4E">
        <w:rPr>
          <w:rFonts w:ascii="Trebuchet MS" w:hAnsi="Trebuchet MS"/>
          <w:sz w:val="24"/>
          <w:szCs w:val="24"/>
        </w:rPr>
        <w:t xml:space="preserve"> The Strategic Safeguarding Adults Service at the London Borough of Enfield are also happy to give </w:t>
      </w:r>
      <w:r w:rsidR="00326C06">
        <w:rPr>
          <w:rFonts w:ascii="Trebuchet MS" w:hAnsi="Trebuchet MS"/>
          <w:sz w:val="24"/>
          <w:szCs w:val="24"/>
        </w:rPr>
        <w:t xml:space="preserve">(or arrange for) </w:t>
      </w:r>
      <w:r w:rsidR="00DF7B4E">
        <w:rPr>
          <w:rFonts w:ascii="Trebuchet MS" w:hAnsi="Trebuchet MS"/>
          <w:sz w:val="24"/>
          <w:szCs w:val="24"/>
        </w:rPr>
        <w:t>advice and support.</w:t>
      </w:r>
    </w:p>
    <w:p w14:paraId="1B64B49D" w14:textId="77777777" w:rsidR="00BE6D4A" w:rsidRPr="00B844B2" w:rsidRDefault="00BE6D4A" w:rsidP="00BE6D4A">
      <w:pPr>
        <w:pStyle w:val="NoSpacing"/>
        <w:rPr>
          <w:rFonts w:ascii="Trebuchet MS" w:hAnsi="Trebuchet MS"/>
          <w:sz w:val="24"/>
          <w:szCs w:val="24"/>
        </w:rPr>
      </w:pPr>
    </w:p>
    <w:p w14:paraId="0171AA94" w14:textId="079AFBC9" w:rsidR="00BE6D4A" w:rsidRPr="00B844B2" w:rsidRDefault="00DF7B4E" w:rsidP="00BE6D4A">
      <w:pPr>
        <w:pStyle w:val="NoSpacing"/>
        <w:rPr>
          <w:rFonts w:ascii="Trebuchet MS" w:hAnsi="Trebuchet MS"/>
          <w:b/>
          <w:sz w:val="24"/>
          <w:szCs w:val="24"/>
        </w:rPr>
      </w:pPr>
      <w:r>
        <w:rPr>
          <w:rFonts w:ascii="Trebuchet MS" w:hAnsi="Trebuchet MS"/>
          <w:b/>
          <w:sz w:val="24"/>
          <w:szCs w:val="24"/>
        </w:rPr>
        <w:t>3</w:t>
      </w:r>
      <w:r w:rsidR="00BE6D4A" w:rsidRPr="00B844B2">
        <w:rPr>
          <w:rFonts w:ascii="Trebuchet MS" w:hAnsi="Trebuchet MS"/>
          <w:b/>
          <w:sz w:val="24"/>
          <w:szCs w:val="24"/>
        </w:rPr>
        <w:t>.</w:t>
      </w:r>
      <w:r w:rsidR="00226F54">
        <w:rPr>
          <w:rFonts w:ascii="Trebuchet MS" w:hAnsi="Trebuchet MS"/>
          <w:b/>
          <w:sz w:val="24"/>
          <w:szCs w:val="24"/>
        </w:rPr>
        <w:t>1.6</w:t>
      </w:r>
      <w:r w:rsidR="00BE6D4A" w:rsidRPr="00B844B2">
        <w:rPr>
          <w:rFonts w:ascii="Trebuchet MS" w:hAnsi="Trebuchet MS"/>
          <w:b/>
          <w:sz w:val="24"/>
          <w:szCs w:val="24"/>
        </w:rPr>
        <w:tab/>
        <w:t xml:space="preserve">Assurance to the </w:t>
      </w:r>
      <w:r w:rsidR="00C50491" w:rsidRPr="00B844B2">
        <w:rPr>
          <w:rFonts w:ascii="Trebuchet MS" w:hAnsi="Trebuchet MS"/>
          <w:b/>
          <w:sz w:val="24"/>
          <w:szCs w:val="24"/>
        </w:rPr>
        <w:t>Enfield Safeguarding</w:t>
      </w:r>
      <w:r w:rsidR="00BE6D4A" w:rsidRPr="00B844B2">
        <w:rPr>
          <w:rFonts w:ascii="Trebuchet MS" w:hAnsi="Trebuchet MS"/>
          <w:b/>
          <w:sz w:val="24"/>
          <w:szCs w:val="24"/>
        </w:rPr>
        <w:t xml:space="preserve"> Adults Board:</w:t>
      </w:r>
    </w:p>
    <w:p w14:paraId="00A9A472" w14:textId="77777777" w:rsidR="00BE6D4A" w:rsidRPr="00B844B2" w:rsidRDefault="00BE6D4A" w:rsidP="00BE6D4A">
      <w:pPr>
        <w:pStyle w:val="NoSpacing"/>
        <w:ind w:left="720"/>
        <w:rPr>
          <w:rFonts w:ascii="Trebuchet MS" w:hAnsi="Trebuchet MS"/>
          <w:sz w:val="24"/>
          <w:szCs w:val="24"/>
        </w:rPr>
      </w:pPr>
    </w:p>
    <w:p w14:paraId="3191A056" w14:textId="403E9B35" w:rsidR="00042FC3" w:rsidRDefault="00BE6D4A" w:rsidP="00C50491">
      <w:pPr>
        <w:pStyle w:val="NoSpacing"/>
        <w:rPr>
          <w:rFonts w:ascii="Trebuchet MS" w:hAnsi="Trebuchet MS"/>
          <w:sz w:val="24"/>
          <w:szCs w:val="24"/>
        </w:rPr>
      </w:pPr>
      <w:r w:rsidRPr="00B844B2">
        <w:rPr>
          <w:rFonts w:ascii="Trebuchet MS" w:hAnsi="Trebuchet MS"/>
          <w:sz w:val="24"/>
          <w:szCs w:val="24"/>
        </w:rPr>
        <w:t xml:space="preserve">Each partner agency will be required to provide assurance to </w:t>
      </w:r>
      <w:r w:rsidR="00723658" w:rsidRPr="00B844B2">
        <w:rPr>
          <w:rFonts w:ascii="Trebuchet MS" w:hAnsi="Trebuchet MS"/>
          <w:sz w:val="24"/>
          <w:szCs w:val="24"/>
        </w:rPr>
        <w:t>the Enfield</w:t>
      </w:r>
      <w:r w:rsidR="00424ADF" w:rsidRPr="00B844B2">
        <w:rPr>
          <w:rFonts w:ascii="Trebuchet MS" w:hAnsi="Trebuchet MS"/>
          <w:sz w:val="24"/>
          <w:szCs w:val="24"/>
        </w:rPr>
        <w:t xml:space="preserve"> </w:t>
      </w:r>
      <w:r w:rsidRPr="00B844B2">
        <w:rPr>
          <w:rFonts w:ascii="Trebuchet MS" w:hAnsi="Trebuchet MS"/>
          <w:sz w:val="24"/>
          <w:szCs w:val="24"/>
        </w:rPr>
        <w:t xml:space="preserve">Safeguarding Adults Board that the Person in a Position of Trust arrangements within their organisation are functioning effectively. </w:t>
      </w:r>
      <w:r w:rsidR="00042FC3">
        <w:rPr>
          <w:rFonts w:ascii="Trebuchet MS" w:hAnsi="Trebuchet MS"/>
          <w:sz w:val="24"/>
          <w:szCs w:val="24"/>
        </w:rPr>
        <w:t xml:space="preserve">This should form part of the annual assurance report. </w:t>
      </w:r>
    </w:p>
    <w:p w14:paraId="1108A1AC" w14:textId="77777777" w:rsidR="00042FC3" w:rsidRDefault="00042FC3" w:rsidP="00C50491">
      <w:pPr>
        <w:pStyle w:val="NoSpacing"/>
        <w:rPr>
          <w:rFonts w:ascii="Trebuchet MS" w:hAnsi="Trebuchet MS"/>
          <w:sz w:val="24"/>
          <w:szCs w:val="24"/>
        </w:rPr>
      </w:pPr>
    </w:p>
    <w:p w14:paraId="7E33284D" w14:textId="3AC0C9C0" w:rsidR="00BE6D4A" w:rsidRDefault="00BE6D4A" w:rsidP="00C50491">
      <w:pPr>
        <w:pStyle w:val="NoSpacing"/>
        <w:rPr>
          <w:rFonts w:ascii="Trebuchet MS" w:hAnsi="Trebuchet MS"/>
          <w:sz w:val="24"/>
          <w:szCs w:val="24"/>
        </w:rPr>
      </w:pPr>
      <w:r w:rsidRPr="00B844B2">
        <w:rPr>
          <w:rFonts w:ascii="Trebuchet MS" w:hAnsi="Trebuchet MS"/>
          <w:sz w:val="24"/>
          <w:szCs w:val="24"/>
        </w:rPr>
        <w:t xml:space="preserve">The </w:t>
      </w:r>
      <w:r w:rsidR="00C50491" w:rsidRPr="00B844B2">
        <w:rPr>
          <w:rFonts w:ascii="Trebuchet MS" w:hAnsi="Trebuchet MS"/>
          <w:sz w:val="24"/>
          <w:szCs w:val="24"/>
        </w:rPr>
        <w:t>ESAB</w:t>
      </w:r>
      <w:r w:rsidRPr="00B844B2">
        <w:rPr>
          <w:rFonts w:ascii="Trebuchet MS" w:hAnsi="Trebuchet MS"/>
          <w:sz w:val="24"/>
          <w:szCs w:val="24"/>
        </w:rPr>
        <w:t xml:space="preserve"> will maintain oversight of whether these arrangements are considered to be working effectively between and across partner agencies in the Borough.</w:t>
      </w:r>
    </w:p>
    <w:p w14:paraId="7870A0C5" w14:textId="77777777" w:rsidR="00955712" w:rsidRDefault="00955712" w:rsidP="00C50491">
      <w:pPr>
        <w:pStyle w:val="NoSpacing"/>
        <w:rPr>
          <w:rFonts w:ascii="Trebuchet MS" w:hAnsi="Trebuchet MS"/>
          <w:b/>
          <w:sz w:val="24"/>
          <w:szCs w:val="24"/>
        </w:rPr>
      </w:pPr>
    </w:p>
    <w:p w14:paraId="7A567A6A" w14:textId="009B5700" w:rsidR="00226F54" w:rsidRPr="00706396" w:rsidRDefault="00DF7B4E" w:rsidP="00C50491">
      <w:pPr>
        <w:pStyle w:val="NoSpacing"/>
        <w:rPr>
          <w:rFonts w:ascii="Trebuchet MS" w:hAnsi="Trebuchet MS"/>
          <w:b/>
          <w:sz w:val="24"/>
          <w:szCs w:val="24"/>
        </w:rPr>
      </w:pPr>
      <w:r>
        <w:rPr>
          <w:rFonts w:ascii="Trebuchet MS" w:hAnsi="Trebuchet MS"/>
          <w:b/>
          <w:sz w:val="24"/>
          <w:szCs w:val="24"/>
        </w:rPr>
        <w:t>3</w:t>
      </w:r>
      <w:r w:rsidR="00917C76" w:rsidRPr="00706396">
        <w:rPr>
          <w:rFonts w:ascii="Trebuchet MS" w:hAnsi="Trebuchet MS"/>
          <w:b/>
          <w:sz w:val="24"/>
          <w:szCs w:val="24"/>
        </w:rPr>
        <w:t xml:space="preserve">.2. </w:t>
      </w:r>
      <w:r w:rsidR="0025488F" w:rsidRPr="00706396">
        <w:rPr>
          <w:rFonts w:ascii="Trebuchet MS" w:hAnsi="Trebuchet MS"/>
          <w:b/>
          <w:sz w:val="24"/>
          <w:szCs w:val="24"/>
        </w:rPr>
        <w:t>R</w:t>
      </w:r>
      <w:r w:rsidR="00917C76" w:rsidRPr="00706396">
        <w:rPr>
          <w:rFonts w:ascii="Trebuchet MS" w:hAnsi="Trebuchet MS"/>
          <w:b/>
          <w:sz w:val="24"/>
          <w:szCs w:val="24"/>
        </w:rPr>
        <w:t>egarding Children</w:t>
      </w:r>
    </w:p>
    <w:p w14:paraId="559BDA3E" w14:textId="60FC8CF6" w:rsidR="000D1047" w:rsidRPr="00706396" w:rsidRDefault="00DF7B4E" w:rsidP="000D1047">
      <w:pPr>
        <w:pStyle w:val="BodyText"/>
        <w:spacing w:before="199"/>
        <w:ind w:right="403"/>
        <w:rPr>
          <w:rFonts w:ascii="Trebuchet MS" w:hAnsi="Trebuchet MS"/>
          <w:b/>
        </w:rPr>
      </w:pPr>
      <w:r>
        <w:rPr>
          <w:rFonts w:ascii="Trebuchet MS" w:hAnsi="Trebuchet MS"/>
          <w:b/>
        </w:rPr>
        <w:t>3</w:t>
      </w:r>
      <w:r w:rsidR="000D1047" w:rsidRPr="00706396">
        <w:rPr>
          <w:rFonts w:ascii="Trebuchet MS" w:hAnsi="Trebuchet MS"/>
          <w:b/>
        </w:rPr>
        <w:t>.2.1</w:t>
      </w:r>
      <w:r w:rsidR="000D1047" w:rsidRPr="00706396">
        <w:rPr>
          <w:rFonts w:ascii="Trebuchet MS" w:hAnsi="Trebuchet MS"/>
          <w:b/>
        </w:rPr>
        <w:tab/>
      </w:r>
      <w:r w:rsidR="003A4B20">
        <w:rPr>
          <w:rFonts w:ascii="Trebuchet MS" w:hAnsi="Trebuchet MS"/>
          <w:b/>
        </w:rPr>
        <w:t xml:space="preserve"> </w:t>
      </w:r>
      <w:r w:rsidR="000D1047" w:rsidRPr="00706396">
        <w:rPr>
          <w:rFonts w:ascii="Trebuchet MS" w:hAnsi="Trebuchet MS"/>
          <w:b/>
        </w:rPr>
        <w:t>Local Authority Designated Officer (LADO)</w:t>
      </w:r>
      <w:r w:rsidR="001C5469">
        <w:rPr>
          <w:rFonts w:ascii="Trebuchet MS" w:hAnsi="Trebuchet MS"/>
          <w:b/>
        </w:rPr>
        <w:t>:</w:t>
      </w:r>
    </w:p>
    <w:p w14:paraId="571053D0" w14:textId="771E206A" w:rsidR="000D1047" w:rsidRPr="00706396" w:rsidRDefault="000D1047" w:rsidP="0025488F">
      <w:pPr>
        <w:pStyle w:val="BodyText"/>
        <w:spacing w:before="199"/>
        <w:ind w:right="403"/>
        <w:rPr>
          <w:rFonts w:ascii="Trebuchet MS" w:hAnsi="Trebuchet MS"/>
        </w:rPr>
      </w:pPr>
      <w:r w:rsidRPr="00706396">
        <w:rPr>
          <w:rFonts w:ascii="Trebuchet MS" w:hAnsi="Trebuchet MS"/>
        </w:rPr>
        <w:t xml:space="preserve">When a person’s conduct towards an adult may impact on their suitability to </w:t>
      </w:r>
      <w:r w:rsidRPr="00706396">
        <w:rPr>
          <w:rFonts w:ascii="Trebuchet MS" w:hAnsi="Trebuchet MS"/>
        </w:rPr>
        <w:lastRenderedPageBreak/>
        <w:t>work with, or continue to work with children, this must be referred to the Local Authority Designated Officer (LADO). Where concerns have been identified about their practice and they are a parent/carer for children, then consideration by the Data Controller should be given to whether a referral to Children’s Services is required.</w:t>
      </w:r>
    </w:p>
    <w:p w14:paraId="286C43DB" w14:textId="77777777" w:rsidR="000D1047" w:rsidRPr="00706396" w:rsidRDefault="000D1047" w:rsidP="000D1047">
      <w:pPr>
        <w:pStyle w:val="NoSpacing"/>
        <w:ind w:left="720"/>
        <w:rPr>
          <w:rFonts w:ascii="Trebuchet MS" w:hAnsi="Trebuchet MS"/>
        </w:rPr>
      </w:pPr>
    </w:p>
    <w:p w14:paraId="5C73F49C" w14:textId="1D4176E4" w:rsidR="000D1047" w:rsidRPr="00706396" w:rsidRDefault="00DF7B4E" w:rsidP="007A104E">
      <w:pPr>
        <w:pStyle w:val="NoSpacing"/>
        <w:rPr>
          <w:rFonts w:ascii="Trebuchet MS" w:eastAsia="Times New Roman" w:hAnsi="Trebuchet MS" w:cs="Arial"/>
          <w:sz w:val="24"/>
          <w:szCs w:val="24"/>
        </w:rPr>
      </w:pPr>
      <w:r>
        <w:rPr>
          <w:rFonts w:ascii="Trebuchet MS" w:eastAsia="Times New Roman" w:hAnsi="Trebuchet MS" w:cs="Arial"/>
          <w:b/>
          <w:sz w:val="24"/>
          <w:szCs w:val="24"/>
        </w:rPr>
        <w:t>3</w:t>
      </w:r>
      <w:r w:rsidR="00E105C4" w:rsidRPr="00EE1D54">
        <w:rPr>
          <w:rFonts w:ascii="Trebuchet MS" w:eastAsia="Times New Roman" w:hAnsi="Trebuchet MS" w:cs="Arial"/>
          <w:b/>
          <w:sz w:val="24"/>
          <w:szCs w:val="24"/>
        </w:rPr>
        <w:t xml:space="preserve">.2.2 Receiving </w:t>
      </w:r>
      <w:r w:rsidR="00EE1D54" w:rsidRPr="00EE1D54">
        <w:rPr>
          <w:rFonts w:ascii="Trebuchet MS" w:eastAsia="Times New Roman" w:hAnsi="Trebuchet MS" w:cs="Arial"/>
          <w:b/>
          <w:sz w:val="24"/>
          <w:szCs w:val="24"/>
        </w:rPr>
        <w:t>referrals:</w:t>
      </w:r>
      <w:r w:rsidR="001C5469">
        <w:rPr>
          <w:rFonts w:ascii="Trebuchet MS" w:eastAsia="Times New Roman" w:hAnsi="Trebuchet MS" w:cs="Arial"/>
          <w:sz w:val="24"/>
          <w:szCs w:val="24"/>
        </w:rPr>
        <w:t xml:space="preserve"> </w:t>
      </w:r>
      <w:r w:rsidR="00042FC3">
        <w:rPr>
          <w:rFonts w:ascii="Trebuchet MS" w:eastAsia="Times New Roman" w:hAnsi="Trebuchet MS" w:cs="Arial"/>
          <w:sz w:val="24"/>
          <w:szCs w:val="24"/>
        </w:rPr>
        <w:t xml:space="preserve">You may receive </w:t>
      </w:r>
      <w:r w:rsidR="000D1047" w:rsidRPr="00706396">
        <w:rPr>
          <w:rFonts w:ascii="Trebuchet MS" w:eastAsia="Times New Roman" w:hAnsi="Trebuchet MS" w:cs="Arial"/>
          <w:sz w:val="24"/>
          <w:szCs w:val="24"/>
        </w:rPr>
        <w:t xml:space="preserve">information to suggest a member of staff working within the borough of </w:t>
      </w:r>
      <w:r w:rsidR="0025488F" w:rsidRPr="00706396">
        <w:rPr>
          <w:rFonts w:ascii="Trebuchet MS" w:eastAsia="Times New Roman" w:hAnsi="Trebuchet MS" w:cs="Arial"/>
          <w:sz w:val="24"/>
          <w:szCs w:val="24"/>
        </w:rPr>
        <w:t>Enfield</w:t>
      </w:r>
      <w:r w:rsidR="000D1047" w:rsidRPr="00706396">
        <w:rPr>
          <w:rFonts w:ascii="Trebuchet MS" w:eastAsia="Times New Roman" w:hAnsi="Trebuchet MS" w:cs="Arial"/>
          <w:sz w:val="24"/>
          <w:szCs w:val="24"/>
        </w:rPr>
        <w:t xml:space="preserve"> has:</w:t>
      </w:r>
    </w:p>
    <w:p w14:paraId="677BEC85" w14:textId="46593567" w:rsidR="000D1047" w:rsidRPr="00706396" w:rsidRDefault="000D1047" w:rsidP="008116B9">
      <w:pPr>
        <w:pStyle w:val="NoSpacing"/>
        <w:widowControl w:val="0"/>
        <w:numPr>
          <w:ilvl w:val="1"/>
          <w:numId w:val="10"/>
        </w:numPr>
        <w:autoSpaceDE w:val="0"/>
        <w:autoSpaceDN w:val="0"/>
        <w:rPr>
          <w:rFonts w:ascii="Trebuchet MS" w:eastAsia="Times New Roman" w:hAnsi="Trebuchet MS" w:cs="Arial"/>
          <w:sz w:val="24"/>
          <w:szCs w:val="24"/>
        </w:rPr>
      </w:pPr>
      <w:r w:rsidRPr="00706396">
        <w:rPr>
          <w:rFonts w:ascii="Trebuchet MS" w:eastAsia="Times New Roman" w:hAnsi="Trebuchet MS" w:cs="Arial"/>
          <w:sz w:val="24"/>
          <w:szCs w:val="24"/>
        </w:rPr>
        <w:t>Behaved in a way that has harmed a child, or may have harmed a child;</w:t>
      </w:r>
    </w:p>
    <w:p w14:paraId="182DA115" w14:textId="73456F87" w:rsidR="000D1047" w:rsidRPr="00706396" w:rsidRDefault="000D1047" w:rsidP="008116B9">
      <w:pPr>
        <w:pStyle w:val="NoSpacing"/>
        <w:widowControl w:val="0"/>
        <w:numPr>
          <w:ilvl w:val="1"/>
          <w:numId w:val="10"/>
        </w:numPr>
        <w:autoSpaceDE w:val="0"/>
        <w:autoSpaceDN w:val="0"/>
        <w:rPr>
          <w:rFonts w:ascii="Trebuchet MS" w:eastAsia="Times New Roman" w:hAnsi="Trebuchet MS" w:cs="Arial"/>
          <w:sz w:val="24"/>
          <w:szCs w:val="24"/>
        </w:rPr>
      </w:pPr>
      <w:r w:rsidRPr="00706396">
        <w:rPr>
          <w:rFonts w:ascii="Trebuchet MS" w:eastAsia="Times New Roman" w:hAnsi="Trebuchet MS" w:cs="Arial"/>
          <w:sz w:val="24"/>
          <w:szCs w:val="24"/>
        </w:rPr>
        <w:t>Possibly committed a criminal offence against or related to a child; or</w:t>
      </w:r>
    </w:p>
    <w:p w14:paraId="29895249" w14:textId="4F4A5426" w:rsidR="000D1047" w:rsidRPr="00706396" w:rsidRDefault="000D1047" w:rsidP="008116B9">
      <w:pPr>
        <w:pStyle w:val="NoSpacing"/>
        <w:widowControl w:val="0"/>
        <w:numPr>
          <w:ilvl w:val="1"/>
          <w:numId w:val="10"/>
        </w:numPr>
        <w:autoSpaceDE w:val="0"/>
        <w:autoSpaceDN w:val="0"/>
        <w:rPr>
          <w:rFonts w:ascii="Trebuchet MS" w:eastAsia="Times New Roman" w:hAnsi="Trebuchet MS" w:cs="Arial"/>
          <w:sz w:val="24"/>
          <w:szCs w:val="24"/>
        </w:rPr>
      </w:pPr>
      <w:r w:rsidRPr="00706396">
        <w:rPr>
          <w:rFonts w:ascii="Trebuchet MS" w:eastAsia="Times New Roman" w:hAnsi="Trebuchet MS" w:cs="Arial"/>
          <w:sz w:val="24"/>
          <w:szCs w:val="24"/>
        </w:rPr>
        <w:t>Behaved towards a child or children in a way that indicates s/he would pose a risk of harm if they work regularly or closely with children</w:t>
      </w:r>
      <w:r w:rsidR="00DF7B4E">
        <w:rPr>
          <w:rFonts w:ascii="Trebuchet MS" w:eastAsia="Times New Roman" w:hAnsi="Trebuchet MS" w:cs="Arial"/>
          <w:sz w:val="24"/>
          <w:szCs w:val="24"/>
        </w:rPr>
        <w:t>.</w:t>
      </w:r>
    </w:p>
    <w:p w14:paraId="4089BD9C" w14:textId="77777777" w:rsidR="00FF711B" w:rsidRPr="00706396" w:rsidRDefault="00FF711B" w:rsidP="007A104E">
      <w:pPr>
        <w:pStyle w:val="NoSpacing"/>
        <w:rPr>
          <w:rFonts w:ascii="Trebuchet MS" w:eastAsia="Times New Roman" w:hAnsi="Trebuchet MS" w:cs="Arial"/>
          <w:sz w:val="24"/>
          <w:szCs w:val="24"/>
        </w:rPr>
      </w:pPr>
    </w:p>
    <w:p w14:paraId="43B36F13" w14:textId="7DF63927" w:rsidR="00DF7B4E" w:rsidRDefault="00DF7B4E" w:rsidP="00DF7B4E">
      <w:pPr>
        <w:pStyle w:val="NoSpacing"/>
        <w:rPr>
          <w:rFonts w:ascii="Trebuchet MS" w:eastAsia="Times New Roman" w:hAnsi="Trebuchet MS" w:cs="Arial"/>
          <w:sz w:val="24"/>
          <w:szCs w:val="24"/>
        </w:rPr>
      </w:pPr>
      <w:r>
        <w:rPr>
          <w:rFonts w:ascii="Trebuchet MS" w:eastAsia="Times New Roman" w:hAnsi="Trebuchet MS" w:cs="Arial"/>
          <w:b/>
          <w:sz w:val="24"/>
          <w:szCs w:val="24"/>
        </w:rPr>
        <w:t>3</w:t>
      </w:r>
      <w:r w:rsidR="003F2EB5" w:rsidRPr="00E21E9A">
        <w:rPr>
          <w:rFonts w:ascii="Trebuchet MS" w:eastAsia="Times New Roman" w:hAnsi="Trebuchet MS" w:cs="Arial"/>
          <w:b/>
          <w:sz w:val="24"/>
          <w:szCs w:val="24"/>
        </w:rPr>
        <w:t>.</w:t>
      </w:r>
      <w:r w:rsidR="00E21E9A" w:rsidRPr="00E21E9A">
        <w:rPr>
          <w:rFonts w:ascii="Trebuchet MS" w:eastAsia="Times New Roman" w:hAnsi="Trebuchet MS" w:cs="Arial"/>
          <w:b/>
          <w:sz w:val="24"/>
          <w:szCs w:val="24"/>
        </w:rPr>
        <w:t>2.3: Responding to referrals</w:t>
      </w:r>
      <w:r w:rsidR="00E21E9A">
        <w:rPr>
          <w:rFonts w:ascii="Trebuchet MS" w:eastAsia="Times New Roman" w:hAnsi="Trebuchet MS" w:cs="Arial"/>
          <w:sz w:val="24"/>
          <w:szCs w:val="24"/>
        </w:rPr>
        <w:t xml:space="preserve">: </w:t>
      </w:r>
      <w:r w:rsidR="009D6057">
        <w:rPr>
          <w:rFonts w:ascii="Trebuchet MS" w:eastAsia="Times New Roman" w:hAnsi="Trebuchet MS" w:cs="Arial"/>
          <w:sz w:val="24"/>
          <w:szCs w:val="24"/>
        </w:rPr>
        <w:t>R</w:t>
      </w:r>
      <w:r w:rsidR="000D1047" w:rsidRPr="00706396">
        <w:rPr>
          <w:rFonts w:ascii="Trebuchet MS" w:eastAsia="Times New Roman" w:hAnsi="Trebuchet MS" w:cs="Arial"/>
          <w:sz w:val="24"/>
          <w:szCs w:val="24"/>
        </w:rPr>
        <w:t xml:space="preserve">eport the matter to the Local Authority Designated Officer (LADO) </w:t>
      </w:r>
      <w:r w:rsidR="003B3332" w:rsidRPr="00706396">
        <w:rPr>
          <w:rFonts w:ascii="Trebuchet MS" w:eastAsia="Times New Roman" w:hAnsi="Trebuchet MS" w:cs="Arial"/>
          <w:sz w:val="24"/>
          <w:szCs w:val="24"/>
        </w:rPr>
        <w:t>immediately</w:t>
      </w:r>
      <w:r w:rsidR="00042FC3">
        <w:rPr>
          <w:rFonts w:ascii="Trebuchet MS" w:eastAsia="Times New Roman" w:hAnsi="Trebuchet MS" w:cs="Arial"/>
          <w:sz w:val="24"/>
          <w:szCs w:val="24"/>
        </w:rPr>
        <w:t xml:space="preserve"> if any of the above is the case</w:t>
      </w:r>
      <w:r w:rsidR="003B3332" w:rsidRPr="00706396">
        <w:rPr>
          <w:rFonts w:ascii="Trebuchet MS" w:eastAsia="Times New Roman" w:hAnsi="Trebuchet MS" w:cs="Arial"/>
          <w:sz w:val="24"/>
          <w:szCs w:val="24"/>
        </w:rPr>
        <w:t>. If</w:t>
      </w:r>
      <w:r w:rsidR="000D1047" w:rsidRPr="00706396">
        <w:rPr>
          <w:rFonts w:ascii="Trebuchet MS" w:eastAsia="Times New Roman" w:hAnsi="Trebuchet MS" w:cs="Arial"/>
          <w:sz w:val="24"/>
          <w:szCs w:val="24"/>
        </w:rPr>
        <w:t xml:space="preserve"> the allegation is to be reported out of office hours, contact Children’s Social Care Out of hours Emergency Duty Team. </w:t>
      </w:r>
      <w:r w:rsidR="001144C5">
        <w:rPr>
          <w:rFonts w:ascii="Trebuchet MS" w:eastAsia="Times New Roman" w:hAnsi="Trebuchet MS" w:cs="Arial"/>
          <w:sz w:val="24"/>
          <w:szCs w:val="24"/>
        </w:rPr>
        <w:t>Please</w:t>
      </w:r>
      <w:r w:rsidR="000D1047" w:rsidRPr="00706396">
        <w:rPr>
          <w:rFonts w:ascii="Trebuchet MS" w:eastAsia="Times New Roman" w:hAnsi="Trebuchet MS" w:cs="Arial"/>
          <w:sz w:val="24"/>
          <w:szCs w:val="24"/>
        </w:rPr>
        <w:t xml:space="preserve"> do not:</w:t>
      </w:r>
    </w:p>
    <w:p w14:paraId="21B72BC6" w14:textId="11497A88" w:rsidR="000D1047" w:rsidRPr="00706396" w:rsidRDefault="000D1047" w:rsidP="008116B9">
      <w:pPr>
        <w:pStyle w:val="NoSpacing"/>
        <w:numPr>
          <w:ilvl w:val="3"/>
          <w:numId w:val="11"/>
        </w:numPr>
        <w:rPr>
          <w:rFonts w:ascii="Trebuchet MS" w:eastAsia="Times New Roman" w:hAnsi="Trebuchet MS" w:cs="Arial"/>
          <w:sz w:val="24"/>
          <w:szCs w:val="24"/>
        </w:rPr>
      </w:pPr>
      <w:r w:rsidRPr="00706396">
        <w:rPr>
          <w:rFonts w:ascii="Trebuchet MS" w:eastAsia="Times New Roman" w:hAnsi="Trebuchet MS" w:cs="Arial"/>
          <w:sz w:val="24"/>
          <w:szCs w:val="24"/>
        </w:rPr>
        <w:t>Investigate the allegation</w:t>
      </w:r>
    </w:p>
    <w:p w14:paraId="0B171902" w14:textId="4AEE76FE" w:rsidR="000D1047" w:rsidRPr="00706396" w:rsidRDefault="000D1047" w:rsidP="008116B9">
      <w:pPr>
        <w:pStyle w:val="NoSpacing"/>
        <w:widowControl w:val="0"/>
        <w:numPr>
          <w:ilvl w:val="3"/>
          <w:numId w:val="11"/>
        </w:numPr>
        <w:autoSpaceDE w:val="0"/>
        <w:autoSpaceDN w:val="0"/>
        <w:rPr>
          <w:rFonts w:ascii="Trebuchet MS" w:eastAsia="Times New Roman" w:hAnsi="Trebuchet MS" w:cs="Arial"/>
          <w:sz w:val="24"/>
          <w:szCs w:val="24"/>
        </w:rPr>
      </w:pPr>
      <w:r w:rsidRPr="00706396">
        <w:rPr>
          <w:rFonts w:ascii="Trebuchet MS" w:eastAsia="Times New Roman" w:hAnsi="Trebuchet MS" w:cs="Arial"/>
          <w:sz w:val="24"/>
          <w:szCs w:val="24"/>
        </w:rPr>
        <w:t>Ask leading questions</w:t>
      </w:r>
    </w:p>
    <w:p w14:paraId="10271F8C" w14:textId="72B615E7" w:rsidR="000D1047" w:rsidRDefault="000D1047" w:rsidP="008116B9">
      <w:pPr>
        <w:pStyle w:val="NoSpacing"/>
        <w:widowControl w:val="0"/>
        <w:numPr>
          <w:ilvl w:val="3"/>
          <w:numId w:val="11"/>
        </w:numPr>
        <w:autoSpaceDE w:val="0"/>
        <w:autoSpaceDN w:val="0"/>
        <w:rPr>
          <w:rFonts w:ascii="Trebuchet MS" w:eastAsia="Times New Roman" w:hAnsi="Trebuchet MS" w:cs="Arial"/>
          <w:sz w:val="24"/>
          <w:szCs w:val="24"/>
        </w:rPr>
      </w:pPr>
      <w:r w:rsidRPr="00706396">
        <w:rPr>
          <w:rFonts w:ascii="Trebuchet MS" w:eastAsia="Times New Roman" w:hAnsi="Trebuchet MS" w:cs="Arial"/>
          <w:sz w:val="24"/>
          <w:szCs w:val="24"/>
        </w:rPr>
        <w:t>Promise confidentiality</w:t>
      </w:r>
    </w:p>
    <w:p w14:paraId="4E73268B" w14:textId="2A27B095" w:rsidR="00042FC3" w:rsidRPr="00706396" w:rsidRDefault="00042FC3" w:rsidP="008116B9">
      <w:pPr>
        <w:pStyle w:val="NoSpacing"/>
        <w:widowControl w:val="0"/>
        <w:numPr>
          <w:ilvl w:val="3"/>
          <w:numId w:val="11"/>
        </w:numPr>
        <w:autoSpaceDE w:val="0"/>
        <w:autoSpaceDN w:val="0"/>
        <w:rPr>
          <w:rFonts w:ascii="Trebuchet MS" w:eastAsia="Times New Roman" w:hAnsi="Trebuchet MS" w:cs="Arial"/>
          <w:sz w:val="24"/>
          <w:szCs w:val="24"/>
        </w:rPr>
      </w:pPr>
      <w:r w:rsidRPr="00706396">
        <w:rPr>
          <w:rFonts w:ascii="Trebuchet MS" w:eastAsia="Times New Roman" w:hAnsi="Trebuchet MS" w:cs="Arial"/>
          <w:sz w:val="24"/>
          <w:szCs w:val="24"/>
        </w:rPr>
        <w:t>Discuss the allegation with the accused person even if you have to suspend them</w:t>
      </w:r>
    </w:p>
    <w:p w14:paraId="47F1EBB7" w14:textId="789D6EF2" w:rsidR="000D1047" w:rsidRPr="00706396" w:rsidRDefault="00042FC3" w:rsidP="00042FC3">
      <w:pPr>
        <w:pStyle w:val="NoSpacing"/>
        <w:widowControl w:val="0"/>
        <w:autoSpaceDE w:val="0"/>
        <w:autoSpaceDN w:val="0"/>
        <w:ind w:left="2160"/>
        <w:rPr>
          <w:rFonts w:ascii="Trebuchet MS" w:eastAsia="Times New Roman" w:hAnsi="Trebuchet MS" w:cs="Arial"/>
          <w:sz w:val="24"/>
          <w:szCs w:val="24"/>
        </w:rPr>
      </w:pPr>
      <w:r>
        <w:rPr>
          <w:rFonts w:ascii="Trebuchet MS" w:eastAsia="Times New Roman" w:hAnsi="Trebuchet MS" w:cs="Arial"/>
          <w:sz w:val="24"/>
          <w:szCs w:val="24"/>
        </w:rPr>
        <w:t xml:space="preserve">       </w:t>
      </w:r>
      <w:r w:rsidR="00DF7B4E">
        <w:rPr>
          <w:rFonts w:ascii="Trebuchet MS" w:eastAsia="Times New Roman" w:hAnsi="Trebuchet MS" w:cs="Arial"/>
          <w:sz w:val="24"/>
          <w:szCs w:val="24"/>
        </w:rPr>
        <w:t xml:space="preserve"> </w:t>
      </w:r>
    </w:p>
    <w:p w14:paraId="26ECAB9E" w14:textId="77777777" w:rsidR="000D1047" w:rsidRPr="00706396" w:rsidRDefault="000D1047" w:rsidP="000D1047">
      <w:pPr>
        <w:pStyle w:val="NoSpacing"/>
        <w:ind w:firstLine="720"/>
        <w:rPr>
          <w:rFonts w:ascii="Trebuchet MS" w:eastAsia="Times New Roman" w:hAnsi="Trebuchet MS" w:cs="Arial"/>
          <w:sz w:val="24"/>
          <w:szCs w:val="24"/>
        </w:rPr>
      </w:pPr>
    </w:p>
    <w:p w14:paraId="60808199" w14:textId="0FBDD92E" w:rsidR="000D1047" w:rsidRPr="00706396" w:rsidRDefault="002E44DC" w:rsidP="002E44DC">
      <w:pPr>
        <w:pStyle w:val="NoSpacing"/>
        <w:rPr>
          <w:rFonts w:ascii="Trebuchet MS" w:eastAsia="Times New Roman" w:hAnsi="Trebuchet MS" w:cs="Arial"/>
          <w:sz w:val="24"/>
          <w:szCs w:val="24"/>
        </w:rPr>
      </w:pPr>
      <w:r>
        <w:rPr>
          <w:rFonts w:ascii="Trebuchet MS" w:eastAsia="Times New Roman" w:hAnsi="Trebuchet MS" w:cs="Arial"/>
          <w:sz w:val="24"/>
          <w:szCs w:val="24"/>
        </w:rPr>
        <w:t xml:space="preserve"> </w:t>
      </w:r>
      <w:r w:rsidR="00F146E4">
        <w:rPr>
          <w:rFonts w:ascii="Trebuchet MS" w:eastAsia="Times New Roman" w:hAnsi="Trebuchet MS" w:cs="Arial"/>
          <w:sz w:val="24"/>
          <w:szCs w:val="24"/>
        </w:rPr>
        <w:t>a</w:t>
      </w:r>
      <w:r>
        <w:rPr>
          <w:rFonts w:ascii="Trebuchet MS" w:eastAsia="Times New Roman" w:hAnsi="Trebuchet MS" w:cs="Arial"/>
          <w:sz w:val="24"/>
          <w:szCs w:val="24"/>
        </w:rPr>
        <w:t>nd p</w:t>
      </w:r>
      <w:r w:rsidR="000D1047" w:rsidRPr="00706396">
        <w:rPr>
          <w:rFonts w:ascii="Trebuchet MS" w:eastAsia="Times New Roman" w:hAnsi="Trebuchet MS" w:cs="Arial"/>
          <w:sz w:val="24"/>
          <w:szCs w:val="24"/>
        </w:rPr>
        <w:t>lease do ensure:</w:t>
      </w:r>
    </w:p>
    <w:p w14:paraId="3CF8A313" w14:textId="38230DE7" w:rsidR="000D1047" w:rsidRPr="00706396" w:rsidRDefault="000D1047" w:rsidP="008116B9">
      <w:pPr>
        <w:pStyle w:val="NoSpacing"/>
        <w:widowControl w:val="0"/>
        <w:numPr>
          <w:ilvl w:val="0"/>
          <w:numId w:val="12"/>
        </w:numPr>
        <w:autoSpaceDE w:val="0"/>
        <w:autoSpaceDN w:val="0"/>
        <w:rPr>
          <w:rFonts w:ascii="Trebuchet MS" w:eastAsia="Times New Roman" w:hAnsi="Trebuchet MS" w:cs="Arial"/>
          <w:sz w:val="24"/>
          <w:szCs w:val="24"/>
        </w:rPr>
      </w:pPr>
      <w:r w:rsidRPr="00706396">
        <w:rPr>
          <w:rFonts w:ascii="Trebuchet MS" w:eastAsia="Times New Roman" w:hAnsi="Trebuchet MS" w:cs="Arial"/>
          <w:sz w:val="24"/>
          <w:szCs w:val="24"/>
        </w:rPr>
        <w:t>If the child is injured the parents are advised and medical attention is sought</w:t>
      </w:r>
      <w:r w:rsidR="00042FC3">
        <w:rPr>
          <w:rFonts w:ascii="Trebuchet MS" w:eastAsia="Times New Roman" w:hAnsi="Trebuchet MS" w:cs="Arial"/>
          <w:sz w:val="24"/>
          <w:szCs w:val="24"/>
        </w:rPr>
        <w:t>.</w:t>
      </w:r>
    </w:p>
    <w:p w14:paraId="2994D73C" w14:textId="1D3236A4" w:rsidR="000D1047" w:rsidRDefault="000D1047" w:rsidP="008116B9">
      <w:pPr>
        <w:pStyle w:val="NoSpacing"/>
        <w:widowControl w:val="0"/>
        <w:numPr>
          <w:ilvl w:val="0"/>
          <w:numId w:val="12"/>
        </w:numPr>
        <w:autoSpaceDE w:val="0"/>
        <w:autoSpaceDN w:val="0"/>
        <w:rPr>
          <w:rFonts w:ascii="Trebuchet MS" w:eastAsia="Times New Roman" w:hAnsi="Trebuchet MS" w:cs="Arial"/>
          <w:sz w:val="24"/>
          <w:szCs w:val="24"/>
        </w:rPr>
      </w:pPr>
      <w:r w:rsidRPr="00706396">
        <w:rPr>
          <w:rFonts w:ascii="Trebuchet MS" w:eastAsia="Times New Roman" w:hAnsi="Trebuchet MS" w:cs="Arial"/>
          <w:sz w:val="24"/>
          <w:szCs w:val="24"/>
        </w:rPr>
        <w:t>The child and other relevant children are safeguarded from any potential risk of harm</w:t>
      </w:r>
      <w:r w:rsidR="00042FC3">
        <w:rPr>
          <w:rFonts w:ascii="Trebuchet MS" w:eastAsia="Times New Roman" w:hAnsi="Trebuchet MS" w:cs="Arial"/>
          <w:sz w:val="24"/>
          <w:szCs w:val="24"/>
        </w:rPr>
        <w:t>.</w:t>
      </w:r>
    </w:p>
    <w:p w14:paraId="2A66FE75" w14:textId="4C3C8FEA" w:rsidR="00DF0BC1" w:rsidRDefault="00DF0BC1" w:rsidP="00DF0BC1">
      <w:pPr>
        <w:pStyle w:val="NoSpacing"/>
        <w:widowControl w:val="0"/>
        <w:autoSpaceDE w:val="0"/>
        <w:autoSpaceDN w:val="0"/>
        <w:rPr>
          <w:rFonts w:ascii="Trebuchet MS" w:eastAsia="Times New Roman" w:hAnsi="Trebuchet MS" w:cs="Arial"/>
          <w:sz w:val="24"/>
          <w:szCs w:val="24"/>
        </w:rPr>
      </w:pPr>
    </w:p>
    <w:p w14:paraId="4A69F3CD" w14:textId="3EC68761" w:rsidR="00DF0BC1" w:rsidRPr="00DF0BC1" w:rsidRDefault="00DF0BC1" w:rsidP="00DF0BC1">
      <w:pPr>
        <w:pStyle w:val="NoSpacing"/>
        <w:widowControl w:val="0"/>
        <w:autoSpaceDE w:val="0"/>
        <w:autoSpaceDN w:val="0"/>
        <w:rPr>
          <w:rStyle w:val="Hyperlink"/>
          <w:rFonts w:ascii="Trebuchet MS" w:eastAsia="Times New Roman" w:hAnsi="Trebuchet MS" w:cs="Arial"/>
          <w:sz w:val="24"/>
          <w:szCs w:val="24"/>
        </w:rPr>
      </w:pPr>
      <w:r>
        <w:rPr>
          <w:rFonts w:ascii="Trebuchet MS" w:eastAsia="Times New Roman" w:hAnsi="Trebuchet MS" w:cs="Arial"/>
          <w:sz w:val="24"/>
          <w:szCs w:val="24"/>
        </w:rPr>
        <w:t xml:space="preserve">3.2.4: Further information on referring to the Enfield LADO can be found at </w:t>
      </w:r>
      <w:r>
        <w:rPr>
          <w:rFonts w:ascii="Trebuchet MS" w:eastAsia="Times New Roman" w:hAnsi="Trebuchet MS" w:cs="Arial"/>
          <w:sz w:val="24"/>
          <w:szCs w:val="24"/>
        </w:rPr>
        <w:fldChar w:fldCharType="begin"/>
      </w:r>
      <w:r>
        <w:rPr>
          <w:rFonts w:ascii="Trebuchet MS" w:eastAsia="Times New Roman" w:hAnsi="Trebuchet MS" w:cs="Arial"/>
          <w:sz w:val="24"/>
          <w:szCs w:val="24"/>
        </w:rPr>
        <w:instrText xml:space="preserve"> HYPERLINK "https://new.enfield.gov.uk/enfieldlscb/professionals-volunteers/allegations-against-adults-working-with-children-lado/" </w:instrText>
      </w:r>
      <w:r>
        <w:rPr>
          <w:rFonts w:ascii="Trebuchet MS" w:eastAsia="Times New Roman" w:hAnsi="Trebuchet MS" w:cs="Arial"/>
          <w:sz w:val="24"/>
          <w:szCs w:val="24"/>
        </w:rPr>
        <w:fldChar w:fldCharType="separate"/>
      </w:r>
      <w:r w:rsidRPr="00DF0BC1">
        <w:rPr>
          <w:rStyle w:val="Hyperlink"/>
          <w:rFonts w:ascii="Trebuchet MS" w:eastAsia="Times New Roman" w:hAnsi="Trebuchet MS" w:cs="Arial"/>
          <w:sz w:val="24"/>
          <w:szCs w:val="24"/>
        </w:rPr>
        <w:t xml:space="preserve">Safeguarding Enfield: Allegations against Adults Working with Children. </w:t>
      </w:r>
    </w:p>
    <w:p w14:paraId="7CAA6FC5" w14:textId="1AE6638E" w:rsidR="00FA2719" w:rsidRDefault="00DF0BC1" w:rsidP="00C50491">
      <w:pPr>
        <w:pStyle w:val="NoSpacing"/>
        <w:rPr>
          <w:rFonts w:ascii="Trebuchet MS" w:hAnsi="Trebuchet MS"/>
          <w:sz w:val="28"/>
          <w:szCs w:val="28"/>
        </w:rPr>
      </w:pPr>
      <w:r>
        <w:rPr>
          <w:rFonts w:ascii="Trebuchet MS" w:eastAsia="Times New Roman" w:hAnsi="Trebuchet MS" w:cs="Arial"/>
          <w:sz w:val="24"/>
          <w:szCs w:val="24"/>
        </w:rPr>
        <w:fldChar w:fldCharType="end"/>
      </w:r>
    </w:p>
    <w:p w14:paraId="4A4A4797" w14:textId="008B647D" w:rsidR="00CC29C0" w:rsidRPr="00527573" w:rsidRDefault="00DF7B4E" w:rsidP="00C50491">
      <w:pPr>
        <w:pStyle w:val="NoSpacing"/>
        <w:rPr>
          <w:rFonts w:ascii="Trebuchet MS" w:hAnsi="Trebuchet MS"/>
          <w:b/>
          <w:sz w:val="28"/>
          <w:szCs w:val="28"/>
        </w:rPr>
      </w:pPr>
      <w:r>
        <w:rPr>
          <w:rFonts w:ascii="Trebuchet MS" w:hAnsi="Trebuchet MS"/>
          <w:sz w:val="28"/>
          <w:szCs w:val="28"/>
        </w:rPr>
        <w:t>4</w:t>
      </w:r>
      <w:r w:rsidR="00B844B2" w:rsidRPr="00B844B2">
        <w:rPr>
          <w:rFonts w:ascii="Trebuchet MS" w:hAnsi="Trebuchet MS"/>
          <w:sz w:val="28"/>
          <w:szCs w:val="28"/>
        </w:rPr>
        <w:t>.</w:t>
      </w:r>
      <w:r w:rsidR="00B844B2" w:rsidRPr="00527573">
        <w:rPr>
          <w:rFonts w:ascii="Trebuchet MS" w:hAnsi="Trebuchet MS"/>
          <w:b/>
          <w:sz w:val="28"/>
          <w:szCs w:val="28"/>
        </w:rPr>
        <w:t xml:space="preserve"> The </w:t>
      </w:r>
      <w:r w:rsidR="00527573">
        <w:rPr>
          <w:rFonts w:ascii="Trebuchet MS" w:hAnsi="Trebuchet MS"/>
          <w:b/>
          <w:sz w:val="28"/>
          <w:szCs w:val="28"/>
        </w:rPr>
        <w:t>L</w:t>
      </w:r>
      <w:r w:rsidR="00B844B2" w:rsidRPr="00527573">
        <w:rPr>
          <w:rFonts w:ascii="Trebuchet MS" w:hAnsi="Trebuchet MS"/>
          <w:b/>
          <w:sz w:val="28"/>
          <w:szCs w:val="28"/>
        </w:rPr>
        <w:t xml:space="preserve">egal </w:t>
      </w:r>
      <w:r w:rsidR="00527573">
        <w:rPr>
          <w:rFonts w:ascii="Trebuchet MS" w:hAnsi="Trebuchet MS"/>
          <w:b/>
          <w:sz w:val="28"/>
          <w:szCs w:val="28"/>
        </w:rPr>
        <w:t>C</w:t>
      </w:r>
      <w:r w:rsidR="00B844B2" w:rsidRPr="00527573">
        <w:rPr>
          <w:rFonts w:ascii="Trebuchet MS" w:hAnsi="Trebuchet MS"/>
          <w:b/>
          <w:sz w:val="28"/>
          <w:szCs w:val="28"/>
        </w:rPr>
        <w:t>ontext</w:t>
      </w:r>
      <w:r w:rsidR="00FA2719" w:rsidRPr="00527573">
        <w:rPr>
          <w:rFonts w:ascii="Trebuchet MS" w:hAnsi="Trebuchet MS"/>
          <w:b/>
          <w:sz w:val="28"/>
          <w:szCs w:val="28"/>
        </w:rPr>
        <w:t>:</w:t>
      </w:r>
    </w:p>
    <w:p w14:paraId="05705EE8" w14:textId="77777777" w:rsidR="00FA2719" w:rsidRDefault="00FA2719" w:rsidP="00FA2719">
      <w:pPr>
        <w:tabs>
          <w:tab w:val="left" w:pos="881"/>
        </w:tabs>
        <w:ind w:right="116"/>
        <w:rPr>
          <w:sz w:val="24"/>
          <w:szCs w:val="24"/>
        </w:rPr>
      </w:pPr>
    </w:p>
    <w:p w14:paraId="2978B730" w14:textId="67F599E5" w:rsidR="006F3213" w:rsidRDefault="00DF7B4E" w:rsidP="00FA2719">
      <w:pPr>
        <w:tabs>
          <w:tab w:val="left" w:pos="881"/>
        </w:tabs>
        <w:ind w:right="116"/>
        <w:rPr>
          <w:rFonts w:ascii="Trebuchet MS" w:hAnsi="Trebuchet MS"/>
          <w:sz w:val="24"/>
          <w:szCs w:val="24"/>
        </w:rPr>
      </w:pPr>
      <w:r>
        <w:rPr>
          <w:rFonts w:ascii="Trebuchet MS" w:hAnsi="Trebuchet MS"/>
          <w:b/>
          <w:sz w:val="24"/>
          <w:szCs w:val="24"/>
        </w:rPr>
        <w:t>4</w:t>
      </w:r>
      <w:r w:rsidR="006F3213" w:rsidRPr="006F3213">
        <w:rPr>
          <w:rFonts w:ascii="Trebuchet MS" w:hAnsi="Trebuchet MS"/>
          <w:b/>
          <w:sz w:val="24"/>
          <w:szCs w:val="24"/>
        </w:rPr>
        <w:t>.1 Existing</w:t>
      </w:r>
      <w:r w:rsidR="00DF5688" w:rsidRPr="006F3213">
        <w:rPr>
          <w:rFonts w:ascii="Trebuchet MS" w:hAnsi="Trebuchet MS"/>
          <w:b/>
          <w:sz w:val="24"/>
          <w:szCs w:val="24"/>
        </w:rPr>
        <w:t xml:space="preserve"> legislation</w:t>
      </w:r>
      <w:r w:rsidR="00DF5688">
        <w:rPr>
          <w:rFonts w:ascii="Trebuchet MS" w:hAnsi="Trebuchet MS"/>
          <w:sz w:val="24"/>
          <w:szCs w:val="24"/>
        </w:rPr>
        <w:t xml:space="preserve"> </w:t>
      </w:r>
    </w:p>
    <w:p w14:paraId="1FF75CB1" w14:textId="178D1FDA" w:rsidR="00332B58" w:rsidRDefault="00DF7B4E" w:rsidP="00FA2719">
      <w:pPr>
        <w:tabs>
          <w:tab w:val="left" w:pos="881"/>
        </w:tabs>
        <w:ind w:right="116"/>
        <w:rPr>
          <w:rFonts w:ascii="Trebuchet MS" w:hAnsi="Trebuchet MS"/>
          <w:sz w:val="24"/>
          <w:szCs w:val="24"/>
        </w:rPr>
      </w:pPr>
      <w:r>
        <w:rPr>
          <w:rFonts w:ascii="Trebuchet MS" w:hAnsi="Trebuchet MS"/>
          <w:sz w:val="24"/>
          <w:szCs w:val="24"/>
        </w:rPr>
        <w:t>4</w:t>
      </w:r>
      <w:r w:rsidR="006F3213">
        <w:rPr>
          <w:rFonts w:ascii="Trebuchet MS" w:hAnsi="Trebuchet MS"/>
          <w:sz w:val="24"/>
          <w:szCs w:val="24"/>
        </w:rPr>
        <w:t>.1</w:t>
      </w:r>
      <w:r w:rsidR="00096C3E">
        <w:rPr>
          <w:rFonts w:ascii="Trebuchet MS" w:hAnsi="Trebuchet MS"/>
          <w:sz w:val="24"/>
          <w:szCs w:val="24"/>
        </w:rPr>
        <w:t>.</w:t>
      </w:r>
      <w:r w:rsidR="006F3213">
        <w:rPr>
          <w:rFonts w:ascii="Trebuchet MS" w:hAnsi="Trebuchet MS"/>
          <w:sz w:val="24"/>
          <w:szCs w:val="24"/>
        </w:rPr>
        <w:t>1</w:t>
      </w:r>
      <w:r w:rsidR="00096C3E">
        <w:rPr>
          <w:rFonts w:ascii="Trebuchet MS" w:hAnsi="Trebuchet MS"/>
          <w:sz w:val="24"/>
          <w:szCs w:val="24"/>
        </w:rPr>
        <w:t xml:space="preserve"> </w:t>
      </w:r>
      <w:r w:rsidR="00FA2719" w:rsidRPr="00FA2719">
        <w:rPr>
          <w:rFonts w:ascii="Trebuchet MS" w:hAnsi="Trebuchet MS"/>
          <w:sz w:val="24"/>
          <w:szCs w:val="24"/>
        </w:rPr>
        <w:t>This protocol builds upon existing relevant statutory provision; particularly legislation that governs the lawful sharing of information, employer responsibilities to risk assess and manage the safety of their service and staff, and the Human Rights Act when balancing one right against another, or one person’s rights against the interest of society.</w:t>
      </w:r>
    </w:p>
    <w:p w14:paraId="6F89A041" w14:textId="08093559" w:rsidR="00FA2719" w:rsidRPr="00A5476C" w:rsidRDefault="00DF7B4E" w:rsidP="00FA2719">
      <w:pPr>
        <w:tabs>
          <w:tab w:val="left" w:pos="881"/>
        </w:tabs>
        <w:ind w:right="116"/>
        <w:rPr>
          <w:rFonts w:ascii="Trebuchet MS" w:hAnsi="Trebuchet MS"/>
          <w:sz w:val="24"/>
          <w:szCs w:val="24"/>
        </w:rPr>
      </w:pPr>
      <w:r>
        <w:rPr>
          <w:rFonts w:ascii="Trebuchet MS" w:hAnsi="Trebuchet MS"/>
          <w:sz w:val="24"/>
          <w:szCs w:val="24"/>
        </w:rPr>
        <w:t>4</w:t>
      </w:r>
      <w:r w:rsidR="00332B58">
        <w:rPr>
          <w:rFonts w:ascii="Trebuchet MS" w:hAnsi="Trebuchet MS"/>
          <w:sz w:val="24"/>
          <w:szCs w:val="24"/>
        </w:rPr>
        <w:t xml:space="preserve">.1.2 </w:t>
      </w:r>
      <w:r w:rsidR="00FA2719" w:rsidRPr="00FA2719">
        <w:rPr>
          <w:rFonts w:ascii="Trebuchet MS" w:hAnsi="Trebuchet MS"/>
          <w:sz w:val="24"/>
          <w:szCs w:val="24"/>
        </w:rPr>
        <w:t xml:space="preserve">Any actions and interventions taken, to address concerns or allegations regarding a person in a position of trust, must be lawful and proportionate, and accord with any relevant statutory provision, for example, Data Protection Act 1998 and GDPR, Human Rights Act 1998 and </w:t>
      </w:r>
      <w:r w:rsidR="00FA2719" w:rsidRPr="00A5476C">
        <w:rPr>
          <w:rFonts w:ascii="Trebuchet MS" w:hAnsi="Trebuchet MS"/>
          <w:sz w:val="24"/>
          <w:szCs w:val="24"/>
        </w:rPr>
        <w:t>employment legislation.</w:t>
      </w:r>
    </w:p>
    <w:p w14:paraId="679396C1" w14:textId="74CED5D6" w:rsidR="00AA625C" w:rsidRPr="00A5476C" w:rsidRDefault="00DF7B4E" w:rsidP="00AA625C">
      <w:pPr>
        <w:pStyle w:val="Heading3"/>
        <w:rPr>
          <w:rFonts w:ascii="Trebuchet MS" w:hAnsi="Trebuchet MS"/>
          <w:color w:val="auto"/>
        </w:rPr>
      </w:pPr>
      <w:bookmarkStart w:id="1" w:name="1.5._Allegations_against_people_who_work"/>
      <w:bookmarkEnd w:id="1"/>
      <w:r>
        <w:rPr>
          <w:rFonts w:ascii="Trebuchet MS" w:hAnsi="Trebuchet MS"/>
          <w:b/>
          <w:color w:val="auto"/>
        </w:rPr>
        <w:lastRenderedPageBreak/>
        <w:t>4</w:t>
      </w:r>
      <w:r w:rsidR="00AA625C" w:rsidRPr="00DF5688">
        <w:rPr>
          <w:rFonts w:ascii="Trebuchet MS" w:hAnsi="Trebuchet MS"/>
          <w:b/>
          <w:color w:val="auto"/>
        </w:rPr>
        <w:t>.2 Data Controller</w:t>
      </w:r>
      <w:r w:rsidR="00AA625C" w:rsidRPr="00A5476C">
        <w:rPr>
          <w:rFonts w:ascii="Trebuchet MS" w:hAnsi="Trebuchet MS"/>
          <w:color w:val="auto"/>
        </w:rPr>
        <w:t>:</w:t>
      </w:r>
    </w:p>
    <w:p w14:paraId="240B460D" w14:textId="00073C4D" w:rsidR="00AA625C" w:rsidRPr="00A5476C" w:rsidRDefault="00DF7B4E" w:rsidP="003633E9">
      <w:pPr>
        <w:pStyle w:val="BodyText"/>
        <w:spacing w:before="199"/>
        <w:ind w:right="274"/>
        <w:rPr>
          <w:rFonts w:ascii="Trebuchet MS" w:hAnsi="Trebuchet MS"/>
        </w:rPr>
      </w:pPr>
      <w:r>
        <w:rPr>
          <w:rFonts w:ascii="Trebuchet MS" w:hAnsi="Trebuchet MS"/>
        </w:rPr>
        <w:t>4</w:t>
      </w:r>
      <w:r w:rsidR="003633E9" w:rsidRPr="00A5476C">
        <w:rPr>
          <w:rFonts w:ascii="Trebuchet MS" w:hAnsi="Trebuchet MS"/>
        </w:rPr>
        <w:t>.2.1 If</w:t>
      </w:r>
      <w:r w:rsidR="00AA625C" w:rsidRPr="00A5476C">
        <w:rPr>
          <w:rFonts w:ascii="Trebuchet MS" w:hAnsi="Trebuchet MS"/>
        </w:rPr>
        <w:t xml:space="preserve"> an organisation is in receipt of information, that gives cause for concern about a person in a position of trust, then that organisation should give careful consideration as to whether they should share the information with the person’s employers, (or student body or voluntary organisation), to enable them to conduct an effective risk assessment. </w:t>
      </w:r>
    </w:p>
    <w:p w14:paraId="5F8B35B1" w14:textId="2F1F197E" w:rsidR="00AA625C" w:rsidRDefault="00DF7B4E" w:rsidP="003633E9">
      <w:pPr>
        <w:pStyle w:val="BodyText"/>
        <w:spacing w:before="199"/>
        <w:ind w:right="274"/>
        <w:rPr>
          <w:rFonts w:ascii="Trebuchet MS" w:hAnsi="Trebuchet MS"/>
          <w:color w:val="0000FF"/>
        </w:rPr>
      </w:pPr>
      <w:r>
        <w:rPr>
          <w:rFonts w:ascii="Trebuchet MS" w:hAnsi="Trebuchet MS"/>
        </w:rPr>
        <w:t>4</w:t>
      </w:r>
      <w:r w:rsidR="003633E9" w:rsidRPr="00A5476C">
        <w:rPr>
          <w:rFonts w:ascii="Trebuchet MS" w:hAnsi="Trebuchet MS"/>
        </w:rPr>
        <w:t xml:space="preserve">.2.2 </w:t>
      </w:r>
      <w:r w:rsidR="00AA625C" w:rsidRPr="00A5476C">
        <w:rPr>
          <w:rFonts w:ascii="Trebuchet MS" w:hAnsi="Trebuchet MS"/>
        </w:rPr>
        <w:t xml:space="preserve">The receiving organisation becomes the </w:t>
      </w:r>
      <w:r w:rsidR="00AA625C" w:rsidRPr="00A5476C">
        <w:rPr>
          <w:rFonts w:ascii="Trebuchet MS" w:hAnsi="Trebuchet MS"/>
          <w:b/>
        </w:rPr>
        <w:t xml:space="preserve">Data Controller </w:t>
      </w:r>
      <w:r w:rsidR="00AA625C" w:rsidRPr="00A5476C">
        <w:rPr>
          <w:rFonts w:ascii="Trebuchet MS" w:hAnsi="Trebuchet MS"/>
        </w:rPr>
        <w:t>as defined by the</w:t>
      </w:r>
      <w:r w:rsidR="00AA625C" w:rsidRPr="00A5476C">
        <w:rPr>
          <w:rFonts w:ascii="Trebuchet MS" w:hAnsi="Trebuchet MS"/>
          <w:color w:val="234060"/>
        </w:rPr>
        <w:t xml:space="preserve"> </w:t>
      </w:r>
      <w:hyperlink r:id="rId10" w:history="1">
        <w:r w:rsidR="00AA625C" w:rsidRPr="00A5476C">
          <w:rPr>
            <w:rStyle w:val="Hyperlink"/>
            <w:rFonts w:ascii="Trebuchet MS" w:hAnsi="Trebuchet MS"/>
          </w:rPr>
          <w:t>Data Protection Act 1998</w:t>
        </w:r>
      </w:hyperlink>
      <w:r w:rsidR="00AA625C" w:rsidRPr="00A5476C">
        <w:rPr>
          <w:rFonts w:ascii="Trebuchet MS" w:hAnsi="Trebuchet MS"/>
          <w:color w:val="000080"/>
          <w:u w:val="single" w:color="000080"/>
        </w:rPr>
        <w:t xml:space="preserve"> </w:t>
      </w:r>
      <w:r w:rsidR="00AA625C" w:rsidRPr="00A5476C">
        <w:rPr>
          <w:rFonts w:ascii="Trebuchet MS" w:hAnsi="Trebuchet MS"/>
        </w:rPr>
        <w:t>and</w:t>
      </w:r>
      <w:r w:rsidR="00AA625C" w:rsidRPr="00A5476C">
        <w:rPr>
          <w:rFonts w:ascii="Trebuchet MS" w:hAnsi="Trebuchet MS"/>
          <w:color w:val="234060"/>
        </w:rPr>
        <w:t xml:space="preserve"> </w:t>
      </w:r>
      <w:hyperlink r:id="rId11">
        <w:r w:rsidR="00AA625C" w:rsidRPr="00A5476C">
          <w:rPr>
            <w:rFonts w:ascii="Trebuchet MS" w:hAnsi="Trebuchet MS"/>
            <w:color w:val="0000FF"/>
            <w:u w:val="single" w:color="0000FF"/>
          </w:rPr>
          <w:t>GDPR; Article 4</w:t>
        </w:r>
        <w:r w:rsidR="00AA625C" w:rsidRPr="00A5476C">
          <w:rPr>
            <w:rFonts w:ascii="Trebuchet MS" w:hAnsi="Trebuchet MS"/>
            <w:color w:val="0000FF"/>
          </w:rPr>
          <w:t xml:space="preserve"> </w:t>
        </w:r>
      </w:hyperlink>
    </w:p>
    <w:p w14:paraId="20BDD320" w14:textId="77777777" w:rsidR="004D2CAB" w:rsidRDefault="004D2CAB" w:rsidP="003633E9">
      <w:pPr>
        <w:pStyle w:val="BodyText"/>
        <w:spacing w:before="41"/>
        <w:ind w:right="223"/>
        <w:rPr>
          <w:rFonts w:ascii="Trebuchet MS" w:hAnsi="Trebuchet MS"/>
        </w:rPr>
      </w:pPr>
    </w:p>
    <w:p w14:paraId="7A97A063" w14:textId="4510E271" w:rsidR="00AA625C" w:rsidRPr="00A5476C" w:rsidRDefault="00DF7B4E" w:rsidP="003633E9">
      <w:pPr>
        <w:pStyle w:val="BodyText"/>
        <w:spacing w:before="41"/>
        <w:ind w:right="223"/>
        <w:rPr>
          <w:rFonts w:ascii="Trebuchet MS" w:hAnsi="Trebuchet MS"/>
        </w:rPr>
      </w:pPr>
      <w:r>
        <w:rPr>
          <w:rFonts w:ascii="Trebuchet MS" w:hAnsi="Trebuchet MS"/>
        </w:rPr>
        <w:t>4</w:t>
      </w:r>
      <w:r w:rsidR="004D2CAB">
        <w:rPr>
          <w:rFonts w:ascii="Trebuchet MS" w:hAnsi="Trebuchet MS"/>
        </w:rPr>
        <w:t xml:space="preserve">.2.3 </w:t>
      </w:r>
      <w:r w:rsidR="00AA625C" w:rsidRPr="00A5476C">
        <w:rPr>
          <w:rFonts w:ascii="Trebuchet MS" w:hAnsi="Trebuchet MS"/>
        </w:rPr>
        <w:t>Partner agencies and the service providers they commission, are individually responsible for ensuring that information relating to P</w:t>
      </w:r>
      <w:r w:rsidR="00CD503D">
        <w:rPr>
          <w:rFonts w:ascii="Trebuchet MS" w:hAnsi="Trebuchet MS"/>
        </w:rPr>
        <w:t>I</w:t>
      </w:r>
      <w:r w:rsidR="00AA625C" w:rsidRPr="00A5476C">
        <w:rPr>
          <w:rFonts w:ascii="Trebuchet MS" w:hAnsi="Trebuchet MS"/>
        </w:rPr>
        <w:t>P</w:t>
      </w:r>
      <w:r w:rsidR="00CD503D">
        <w:rPr>
          <w:rFonts w:ascii="Trebuchet MS" w:hAnsi="Trebuchet MS"/>
        </w:rPr>
        <w:t>O</w:t>
      </w:r>
      <w:r w:rsidR="00AA625C" w:rsidRPr="00A5476C">
        <w:rPr>
          <w:rFonts w:ascii="Trebuchet MS" w:hAnsi="Trebuchet MS"/>
        </w:rPr>
        <w:t xml:space="preserve">T </w:t>
      </w:r>
      <w:r w:rsidR="00CD503D">
        <w:rPr>
          <w:rFonts w:ascii="Trebuchet MS" w:hAnsi="Trebuchet MS"/>
        </w:rPr>
        <w:t>allegations</w:t>
      </w:r>
      <w:r w:rsidR="00AA625C" w:rsidRPr="00A5476C">
        <w:rPr>
          <w:rFonts w:ascii="Trebuchet MS" w:hAnsi="Trebuchet MS"/>
        </w:rPr>
        <w:t xml:space="preserve">, are shared and escalated outside of their organisation in circumstances where this is required. Such sharing of information must be lawful, proportionate and appropriate. Organisations are responsible for making the judgment that this is the case in every instance when they are the </w:t>
      </w:r>
      <w:r w:rsidR="00AA625C" w:rsidRPr="00A5476C">
        <w:rPr>
          <w:rFonts w:ascii="Trebuchet MS" w:hAnsi="Trebuchet MS"/>
          <w:b/>
        </w:rPr>
        <w:t>Data Controller</w:t>
      </w:r>
      <w:r w:rsidR="00AA625C" w:rsidRPr="00A5476C">
        <w:rPr>
          <w:rFonts w:ascii="Trebuchet MS" w:hAnsi="Trebuchet MS"/>
        </w:rPr>
        <w:t>.</w:t>
      </w:r>
    </w:p>
    <w:p w14:paraId="25F0F50C" w14:textId="77777777" w:rsidR="00AA625C" w:rsidRPr="00A5476C" w:rsidRDefault="00AA625C" w:rsidP="00AA625C">
      <w:pPr>
        <w:rPr>
          <w:rFonts w:ascii="Trebuchet MS" w:hAnsi="Trebuchet MS"/>
        </w:rPr>
      </w:pPr>
    </w:p>
    <w:p w14:paraId="27F5833C" w14:textId="31E59E51" w:rsidR="00AA625C" w:rsidRPr="00A5476C" w:rsidRDefault="00DF7B4E" w:rsidP="00AA625C">
      <w:pPr>
        <w:pStyle w:val="BodyText"/>
        <w:spacing w:before="201"/>
        <w:ind w:right="204"/>
        <w:rPr>
          <w:rFonts w:ascii="Trebuchet MS" w:hAnsi="Trebuchet MS"/>
          <w:b/>
        </w:rPr>
      </w:pPr>
      <w:r>
        <w:rPr>
          <w:rFonts w:ascii="Trebuchet MS" w:hAnsi="Trebuchet MS"/>
          <w:b/>
        </w:rPr>
        <w:t>4</w:t>
      </w:r>
      <w:r w:rsidR="003633E9" w:rsidRPr="00A5476C">
        <w:rPr>
          <w:rFonts w:ascii="Trebuchet MS" w:hAnsi="Trebuchet MS"/>
          <w:b/>
        </w:rPr>
        <w:t>.3</w:t>
      </w:r>
      <w:r w:rsidR="00AA625C" w:rsidRPr="00A5476C">
        <w:rPr>
          <w:rFonts w:ascii="Trebuchet MS" w:hAnsi="Trebuchet MS"/>
          <w:b/>
        </w:rPr>
        <w:tab/>
        <w:t>Disclosure and Barring Service:</w:t>
      </w:r>
    </w:p>
    <w:p w14:paraId="478238B4" w14:textId="3D155FF9" w:rsidR="00577B4E" w:rsidRDefault="00DF7B4E" w:rsidP="003633E9">
      <w:pPr>
        <w:pStyle w:val="BodyText"/>
        <w:spacing w:before="201"/>
        <w:ind w:right="204"/>
        <w:rPr>
          <w:rFonts w:ascii="Trebuchet MS" w:hAnsi="Trebuchet MS"/>
        </w:rPr>
      </w:pPr>
      <w:r>
        <w:rPr>
          <w:rFonts w:ascii="Trebuchet MS" w:hAnsi="Trebuchet MS"/>
        </w:rPr>
        <w:t>4</w:t>
      </w:r>
      <w:r w:rsidR="003633E9" w:rsidRPr="00A5476C">
        <w:rPr>
          <w:rFonts w:ascii="Trebuchet MS" w:hAnsi="Trebuchet MS"/>
        </w:rPr>
        <w:t xml:space="preserve">.3.1 </w:t>
      </w:r>
      <w:r w:rsidR="00AA625C" w:rsidRPr="00A5476C">
        <w:rPr>
          <w:rFonts w:ascii="Trebuchet MS" w:hAnsi="Trebuchet MS"/>
        </w:rPr>
        <w:t xml:space="preserve">If, following an investigation a Person in a Position of Trust is removed, by either dismissal or permanent redeployment, to a non-regulated activity, because they pose a risk of harm to adults with care and support needs, (or would have, had the person not left first), then the employer (or student body or voluntary organisation), has a legal duty to refer the person to the </w:t>
      </w:r>
      <w:hyperlink r:id="rId12" w:history="1">
        <w:r w:rsidR="00AA625C" w:rsidRPr="00A5476C">
          <w:rPr>
            <w:rStyle w:val="Hyperlink"/>
            <w:rFonts w:ascii="Trebuchet MS" w:hAnsi="Trebuchet MS"/>
          </w:rPr>
          <w:t>Disclosure and Barring Service</w:t>
        </w:r>
      </w:hyperlink>
      <w:r w:rsidR="00AA625C" w:rsidRPr="00A5476C">
        <w:rPr>
          <w:rFonts w:ascii="Trebuchet MS" w:hAnsi="Trebuchet MS"/>
        </w:rPr>
        <w:t xml:space="preserve"> (DBS).</w:t>
      </w:r>
      <w:r w:rsidR="0026466F" w:rsidRPr="0026466F">
        <w:rPr>
          <w:rFonts w:ascii="Trebuchet MS" w:hAnsi="Trebuchet MS"/>
        </w:rPr>
        <w:t xml:space="preserve"> </w:t>
      </w:r>
      <w:r w:rsidR="0026466F" w:rsidRPr="00A5476C">
        <w:rPr>
          <w:rFonts w:ascii="Trebuchet MS" w:hAnsi="Trebuchet MS"/>
        </w:rPr>
        <w:t>It is an offence to fail to make a referral without good reason</w:t>
      </w:r>
    </w:p>
    <w:p w14:paraId="10B85F47" w14:textId="09675197" w:rsidR="00AA625C" w:rsidRPr="00A5476C" w:rsidRDefault="00DF7B4E" w:rsidP="003633E9">
      <w:pPr>
        <w:pStyle w:val="BodyText"/>
        <w:spacing w:before="201"/>
        <w:ind w:right="204"/>
        <w:rPr>
          <w:rFonts w:ascii="Trebuchet MS" w:hAnsi="Trebuchet MS"/>
        </w:rPr>
      </w:pPr>
      <w:r>
        <w:rPr>
          <w:rFonts w:ascii="Trebuchet MS" w:hAnsi="Trebuchet MS"/>
        </w:rPr>
        <w:t>4</w:t>
      </w:r>
      <w:r w:rsidR="00B74F35">
        <w:rPr>
          <w:rFonts w:ascii="Trebuchet MS" w:hAnsi="Trebuchet MS"/>
        </w:rPr>
        <w:t>.3.2</w:t>
      </w:r>
      <w:r w:rsidR="00AA625C" w:rsidRPr="00A5476C">
        <w:rPr>
          <w:rFonts w:ascii="Trebuchet MS" w:hAnsi="Trebuchet MS"/>
        </w:rPr>
        <w:t>. In addition, where appropriate, employers should report workers to the statutory and other bodies, responsible for professional regulation such as the Health and Care Professions Council, General Medical Council and the Nursing and Midwifery Council.</w:t>
      </w:r>
    </w:p>
    <w:p w14:paraId="4B24E7B0" w14:textId="77777777" w:rsidR="003633E9" w:rsidRPr="00A5476C" w:rsidRDefault="003633E9" w:rsidP="003633E9">
      <w:pPr>
        <w:pStyle w:val="NoSpacing"/>
        <w:rPr>
          <w:rFonts w:ascii="Trebuchet MS" w:eastAsia="Calibri" w:hAnsi="Trebuchet MS" w:cs="Calibri"/>
          <w:sz w:val="24"/>
          <w:szCs w:val="24"/>
          <w:lang w:val="en-GB" w:eastAsia="en-GB" w:bidi="en-GB"/>
        </w:rPr>
      </w:pPr>
    </w:p>
    <w:p w14:paraId="3F7B8260" w14:textId="4F245699" w:rsidR="00DE2161" w:rsidRDefault="00DF7B4E" w:rsidP="003633E9">
      <w:pPr>
        <w:pStyle w:val="NoSpacing"/>
        <w:rPr>
          <w:rFonts w:ascii="Trebuchet MS" w:hAnsi="Trebuchet MS"/>
          <w:sz w:val="24"/>
          <w:szCs w:val="24"/>
        </w:rPr>
      </w:pPr>
      <w:r>
        <w:rPr>
          <w:rFonts w:ascii="Trebuchet MS" w:hAnsi="Trebuchet MS"/>
          <w:sz w:val="24"/>
          <w:szCs w:val="24"/>
        </w:rPr>
        <w:t>4</w:t>
      </w:r>
      <w:r w:rsidR="00F402F2" w:rsidRPr="00A5476C">
        <w:rPr>
          <w:rFonts w:ascii="Trebuchet MS" w:hAnsi="Trebuchet MS"/>
          <w:sz w:val="24"/>
          <w:szCs w:val="24"/>
        </w:rPr>
        <w:t>.3.</w:t>
      </w:r>
      <w:r w:rsidR="0086614B">
        <w:rPr>
          <w:rFonts w:ascii="Trebuchet MS" w:hAnsi="Trebuchet MS"/>
          <w:sz w:val="24"/>
          <w:szCs w:val="24"/>
        </w:rPr>
        <w:t>3</w:t>
      </w:r>
      <w:r w:rsidR="00F402F2" w:rsidRPr="00A5476C">
        <w:rPr>
          <w:rFonts w:ascii="Trebuchet MS" w:hAnsi="Trebuchet MS"/>
          <w:sz w:val="24"/>
          <w:szCs w:val="24"/>
        </w:rPr>
        <w:t xml:space="preserve"> </w:t>
      </w:r>
      <w:r w:rsidR="00AA625C" w:rsidRPr="00A5476C">
        <w:rPr>
          <w:rFonts w:ascii="Trebuchet MS" w:hAnsi="Trebuchet MS"/>
          <w:sz w:val="24"/>
          <w:szCs w:val="24"/>
        </w:rPr>
        <w:t>If a person subject to a P</w:t>
      </w:r>
      <w:r w:rsidR="0086614B">
        <w:rPr>
          <w:rFonts w:ascii="Trebuchet MS" w:hAnsi="Trebuchet MS"/>
          <w:sz w:val="24"/>
          <w:szCs w:val="24"/>
        </w:rPr>
        <w:t>I</w:t>
      </w:r>
      <w:r w:rsidR="00AA625C" w:rsidRPr="00A5476C">
        <w:rPr>
          <w:rFonts w:ascii="Trebuchet MS" w:hAnsi="Trebuchet MS"/>
          <w:sz w:val="24"/>
          <w:szCs w:val="24"/>
        </w:rPr>
        <w:t>P</w:t>
      </w:r>
      <w:r w:rsidR="00DE2161">
        <w:rPr>
          <w:rFonts w:ascii="Trebuchet MS" w:hAnsi="Trebuchet MS"/>
          <w:sz w:val="24"/>
          <w:szCs w:val="24"/>
        </w:rPr>
        <w:t>O</w:t>
      </w:r>
      <w:r w:rsidR="00AA625C" w:rsidRPr="00A5476C">
        <w:rPr>
          <w:rFonts w:ascii="Trebuchet MS" w:hAnsi="Trebuchet MS"/>
          <w:sz w:val="24"/>
          <w:szCs w:val="24"/>
        </w:rPr>
        <w:t xml:space="preserve">T investigation, attempts to leave employment by resigning in an effort to avoid the investigation or disciplinary process, the employer (or student body or voluntary organisation), is entitled </w:t>
      </w:r>
      <w:r w:rsidR="00AA625C" w:rsidRPr="00A5476C">
        <w:rPr>
          <w:rFonts w:ascii="Trebuchet MS" w:hAnsi="Trebuchet MS"/>
          <w:b/>
          <w:sz w:val="24"/>
          <w:szCs w:val="24"/>
        </w:rPr>
        <w:t xml:space="preserve">not </w:t>
      </w:r>
      <w:r w:rsidR="00AA625C" w:rsidRPr="00A5476C">
        <w:rPr>
          <w:rFonts w:ascii="Trebuchet MS" w:hAnsi="Trebuchet MS"/>
          <w:sz w:val="24"/>
          <w:szCs w:val="24"/>
        </w:rPr>
        <w:t>to accept that resignation and conclude whatever process has been utilised with the evidence before them.</w:t>
      </w:r>
    </w:p>
    <w:p w14:paraId="040D7A7A" w14:textId="77777777" w:rsidR="00DE2161" w:rsidRDefault="00DE2161" w:rsidP="003633E9">
      <w:pPr>
        <w:pStyle w:val="NoSpacing"/>
        <w:rPr>
          <w:rFonts w:ascii="Trebuchet MS" w:hAnsi="Trebuchet MS"/>
          <w:sz w:val="24"/>
          <w:szCs w:val="24"/>
        </w:rPr>
      </w:pPr>
    </w:p>
    <w:p w14:paraId="0C2BEF67" w14:textId="6B0A2B1B" w:rsidR="00AA625C" w:rsidRPr="00A5476C" w:rsidRDefault="00DF7B4E" w:rsidP="003633E9">
      <w:pPr>
        <w:pStyle w:val="NoSpacing"/>
        <w:rPr>
          <w:rFonts w:ascii="Trebuchet MS" w:hAnsi="Trebuchet MS"/>
          <w:sz w:val="24"/>
          <w:szCs w:val="24"/>
        </w:rPr>
      </w:pPr>
      <w:r>
        <w:rPr>
          <w:rFonts w:ascii="Trebuchet MS" w:hAnsi="Trebuchet MS"/>
          <w:sz w:val="24"/>
          <w:szCs w:val="24"/>
        </w:rPr>
        <w:t>4</w:t>
      </w:r>
      <w:r w:rsidR="00B60B34">
        <w:rPr>
          <w:rFonts w:ascii="Trebuchet MS" w:hAnsi="Trebuchet MS"/>
          <w:sz w:val="24"/>
          <w:szCs w:val="24"/>
        </w:rPr>
        <w:t xml:space="preserve">.3.4 </w:t>
      </w:r>
      <w:r w:rsidR="00B60B34" w:rsidRPr="00A5476C">
        <w:rPr>
          <w:rFonts w:ascii="Trebuchet MS" w:hAnsi="Trebuchet MS"/>
          <w:sz w:val="24"/>
          <w:szCs w:val="24"/>
        </w:rPr>
        <w:t>If</w:t>
      </w:r>
      <w:r w:rsidR="00AA625C" w:rsidRPr="00A5476C">
        <w:rPr>
          <w:rFonts w:ascii="Trebuchet MS" w:hAnsi="Trebuchet MS"/>
          <w:sz w:val="24"/>
          <w:szCs w:val="24"/>
        </w:rPr>
        <w:t xml:space="preserve"> the investigation outcome warrants it, the employer can dismiss the employee or volunteer instead and make a referral to the DBS. This would also be the case where the person intends to take up legitimate employment or a course of</w:t>
      </w:r>
      <w:r w:rsidR="00AA625C" w:rsidRPr="00A5476C">
        <w:rPr>
          <w:rFonts w:ascii="Trebuchet MS" w:hAnsi="Trebuchet MS"/>
          <w:spacing w:val="-2"/>
          <w:sz w:val="24"/>
          <w:szCs w:val="24"/>
        </w:rPr>
        <w:t xml:space="preserve"> </w:t>
      </w:r>
      <w:r w:rsidR="00AA625C" w:rsidRPr="00A5476C">
        <w:rPr>
          <w:rFonts w:ascii="Trebuchet MS" w:hAnsi="Trebuchet MS"/>
          <w:sz w:val="24"/>
          <w:szCs w:val="24"/>
        </w:rPr>
        <w:t>study.</w:t>
      </w:r>
    </w:p>
    <w:p w14:paraId="7827EF50" w14:textId="77777777" w:rsidR="00F402F2" w:rsidRPr="00A5476C" w:rsidRDefault="00F402F2" w:rsidP="00AA625C">
      <w:pPr>
        <w:pStyle w:val="NoSpacing"/>
        <w:rPr>
          <w:rFonts w:ascii="Trebuchet MS" w:hAnsi="Trebuchet MS"/>
          <w:b/>
          <w:sz w:val="24"/>
          <w:szCs w:val="24"/>
        </w:rPr>
      </w:pPr>
      <w:bookmarkStart w:id="2" w:name="_bookmark4"/>
      <w:bookmarkEnd w:id="2"/>
    </w:p>
    <w:p w14:paraId="70738337" w14:textId="1862B39E" w:rsidR="00AA625C" w:rsidRPr="00A5476C" w:rsidRDefault="00DF7B4E" w:rsidP="00AA625C">
      <w:pPr>
        <w:pStyle w:val="NoSpacing"/>
        <w:rPr>
          <w:rFonts w:ascii="Trebuchet MS" w:hAnsi="Trebuchet MS"/>
          <w:b/>
          <w:sz w:val="24"/>
          <w:szCs w:val="24"/>
        </w:rPr>
      </w:pPr>
      <w:r>
        <w:rPr>
          <w:rFonts w:ascii="Trebuchet MS" w:hAnsi="Trebuchet MS"/>
          <w:b/>
          <w:sz w:val="24"/>
          <w:szCs w:val="24"/>
        </w:rPr>
        <w:t>4</w:t>
      </w:r>
      <w:r w:rsidR="007D0F18" w:rsidRPr="00A5476C">
        <w:rPr>
          <w:rFonts w:ascii="Trebuchet MS" w:hAnsi="Trebuchet MS"/>
          <w:b/>
          <w:sz w:val="24"/>
          <w:szCs w:val="24"/>
        </w:rPr>
        <w:t xml:space="preserve">.4 </w:t>
      </w:r>
      <w:r w:rsidR="00AA625C" w:rsidRPr="00A5476C">
        <w:rPr>
          <w:rFonts w:ascii="Trebuchet MS" w:hAnsi="Trebuchet MS"/>
          <w:b/>
          <w:sz w:val="24"/>
          <w:szCs w:val="24"/>
        </w:rPr>
        <w:t>Information</w:t>
      </w:r>
      <w:r w:rsidR="00AA625C" w:rsidRPr="00A5476C">
        <w:rPr>
          <w:rFonts w:ascii="Trebuchet MS" w:hAnsi="Trebuchet MS"/>
          <w:b/>
          <w:spacing w:val="-2"/>
          <w:sz w:val="24"/>
          <w:szCs w:val="24"/>
        </w:rPr>
        <w:t xml:space="preserve"> </w:t>
      </w:r>
      <w:r w:rsidR="00AA625C" w:rsidRPr="00A5476C">
        <w:rPr>
          <w:rFonts w:ascii="Trebuchet MS" w:hAnsi="Trebuchet MS"/>
          <w:b/>
          <w:sz w:val="24"/>
          <w:szCs w:val="24"/>
        </w:rPr>
        <w:t>Sharing:</w:t>
      </w:r>
    </w:p>
    <w:p w14:paraId="1A7DC021" w14:textId="0B11F825" w:rsidR="00AA625C" w:rsidRPr="00A5476C" w:rsidRDefault="00DF7B4E" w:rsidP="007D0F18">
      <w:pPr>
        <w:pStyle w:val="BodyText"/>
        <w:spacing w:before="200"/>
        <w:ind w:right="483"/>
        <w:rPr>
          <w:rFonts w:ascii="Trebuchet MS" w:hAnsi="Trebuchet MS"/>
        </w:rPr>
      </w:pPr>
      <w:r>
        <w:rPr>
          <w:rFonts w:ascii="Trebuchet MS" w:hAnsi="Trebuchet MS"/>
        </w:rPr>
        <w:t>4</w:t>
      </w:r>
      <w:r w:rsidR="006F65CD" w:rsidRPr="00A5476C">
        <w:rPr>
          <w:rFonts w:ascii="Trebuchet MS" w:hAnsi="Trebuchet MS"/>
        </w:rPr>
        <w:t xml:space="preserve">.4.1 </w:t>
      </w:r>
      <w:r w:rsidR="00AA625C" w:rsidRPr="00A5476C">
        <w:rPr>
          <w:rFonts w:ascii="Trebuchet MS" w:hAnsi="Trebuchet MS"/>
        </w:rPr>
        <w:t>Decisions on sharing information must be justifiable and proportionate, based on the potential or actual harm to adults or children at risk and the rationale for decision-making should always be recorded.</w:t>
      </w:r>
    </w:p>
    <w:p w14:paraId="6540823C" w14:textId="25E74823" w:rsidR="00AA625C" w:rsidRPr="00A5476C" w:rsidRDefault="00DF7B4E" w:rsidP="007D0F18">
      <w:pPr>
        <w:pStyle w:val="BodyText"/>
        <w:spacing w:before="201"/>
        <w:ind w:right="215"/>
        <w:rPr>
          <w:rFonts w:ascii="Trebuchet MS" w:hAnsi="Trebuchet MS"/>
        </w:rPr>
      </w:pPr>
      <w:r>
        <w:rPr>
          <w:rFonts w:ascii="Trebuchet MS" w:hAnsi="Trebuchet MS"/>
        </w:rPr>
        <w:lastRenderedPageBreak/>
        <w:t>4</w:t>
      </w:r>
      <w:r w:rsidR="006F65CD" w:rsidRPr="00A5476C">
        <w:rPr>
          <w:rFonts w:ascii="Trebuchet MS" w:hAnsi="Trebuchet MS"/>
        </w:rPr>
        <w:t xml:space="preserve">.4.2 </w:t>
      </w:r>
      <w:r w:rsidR="00AA625C" w:rsidRPr="00A5476C">
        <w:rPr>
          <w:rFonts w:ascii="Trebuchet MS" w:hAnsi="Trebuchet MS"/>
        </w:rPr>
        <w:t>When sharing information about adults, children and young people at risk between agencies it should only be shared:</w:t>
      </w:r>
    </w:p>
    <w:p w14:paraId="5B0EAE59" w14:textId="3085BA25" w:rsidR="00DF7B4E" w:rsidRDefault="00AA625C" w:rsidP="008116B9">
      <w:pPr>
        <w:pStyle w:val="ListParagraph"/>
        <w:widowControl w:val="0"/>
        <w:numPr>
          <w:ilvl w:val="2"/>
          <w:numId w:val="13"/>
        </w:numPr>
        <w:tabs>
          <w:tab w:val="left" w:pos="1481"/>
        </w:tabs>
        <w:autoSpaceDE w:val="0"/>
        <w:autoSpaceDN w:val="0"/>
        <w:spacing w:after="0" w:line="240" w:lineRule="auto"/>
        <w:rPr>
          <w:rFonts w:ascii="Trebuchet MS" w:hAnsi="Trebuchet MS"/>
          <w:sz w:val="24"/>
          <w:szCs w:val="24"/>
        </w:rPr>
      </w:pPr>
      <w:r w:rsidRPr="00A724DB">
        <w:rPr>
          <w:rFonts w:ascii="Trebuchet MS" w:hAnsi="Trebuchet MS"/>
          <w:sz w:val="24"/>
          <w:szCs w:val="24"/>
        </w:rPr>
        <w:t>Where relevant and necessary, not simply all the information</w:t>
      </w:r>
      <w:r w:rsidRPr="00A724DB">
        <w:rPr>
          <w:rFonts w:ascii="Trebuchet MS" w:hAnsi="Trebuchet MS"/>
          <w:spacing w:val="-27"/>
          <w:sz w:val="24"/>
          <w:szCs w:val="24"/>
        </w:rPr>
        <w:t xml:space="preserve"> </w:t>
      </w:r>
      <w:r w:rsidRPr="00A724DB">
        <w:rPr>
          <w:rFonts w:ascii="Trebuchet MS" w:hAnsi="Trebuchet MS"/>
          <w:sz w:val="24"/>
          <w:szCs w:val="24"/>
        </w:rPr>
        <w:t>held.</w:t>
      </w:r>
    </w:p>
    <w:p w14:paraId="50B4E852" w14:textId="1542E334" w:rsidR="00AA625C" w:rsidRPr="004C75F0" w:rsidRDefault="00AA625C" w:rsidP="008116B9">
      <w:pPr>
        <w:pStyle w:val="ListParagraph"/>
        <w:widowControl w:val="0"/>
        <w:numPr>
          <w:ilvl w:val="2"/>
          <w:numId w:val="13"/>
        </w:numPr>
        <w:tabs>
          <w:tab w:val="left" w:pos="1481"/>
        </w:tabs>
        <w:autoSpaceDE w:val="0"/>
        <w:autoSpaceDN w:val="0"/>
        <w:spacing w:after="0" w:line="240" w:lineRule="auto"/>
        <w:rPr>
          <w:rFonts w:ascii="Trebuchet MS" w:hAnsi="Trebuchet MS"/>
          <w:sz w:val="24"/>
          <w:szCs w:val="24"/>
        </w:rPr>
      </w:pPr>
      <w:r w:rsidRPr="004C75F0">
        <w:rPr>
          <w:rFonts w:ascii="Trebuchet MS" w:hAnsi="Trebuchet MS"/>
          <w:sz w:val="24"/>
          <w:szCs w:val="24"/>
        </w:rPr>
        <w:t>With the relevant people who need all or some of the</w:t>
      </w:r>
      <w:r w:rsidRPr="004C75F0">
        <w:rPr>
          <w:rFonts w:ascii="Trebuchet MS" w:hAnsi="Trebuchet MS"/>
          <w:spacing w:val="-31"/>
          <w:sz w:val="24"/>
          <w:szCs w:val="24"/>
        </w:rPr>
        <w:t xml:space="preserve"> </w:t>
      </w:r>
      <w:r w:rsidRPr="004C75F0">
        <w:rPr>
          <w:rFonts w:ascii="Trebuchet MS" w:hAnsi="Trebuchet MS"/>
          <w:sz w:val="24"/>
          <w:szCs w:val="24"/>
        </w:rPr>
        <w:t>information.</w:t>
      </w:r>
    </w:p>
    <w:p w14:paraId="3B825AB5" w14:textId="77777777" w:rsidR="0009386B" w:rsidRPr="0009386B" w:rsidRDefault="0009386B" w:rsidP="0009386B">
      <w:pPr>
        <w:widowControl w:val="0"/>
        <w:tabs>
          <w:tab w:val="left" w:pos="1481"/>
        </w:tabs>
        <w:autoSpaceDE w:val="0"/>
        <w:autoSpaceDN w:val="0"/>
        <w:spacing w:after="0" w:line="240" w:lineRule="auto"/>
        <w:rPr>
          <w:rFonts w:ascii="Trebuchet MS" w:hAnsi="Trebuchet MS"/>
          <w:sz w:val="24"/>
          <w:szCs w:val="24"/>
        </w:rPr>
      </w:pPr>
    </w:p>
    <w:p w14:paraId="47417CDD" w14:textId="5A54A6EB" w:rsidR="00AA625C" w:rsidRPr="0009386B" w:rsidRDefault="004C75F0" w:rsidP="0009386B">
      <w:pPr>
        <w:widowControl w:val="0"/>
        <w:tabs>
          <w:tab w:val="left" w:pos="1481"/>
        </w:tabs>
        <w:autoSpaceDE w:val="0"/>
        <w:autoSpaceDN w:val="0"/>
        <w:spacing w:after="0" w:line="240" w:lineRule="auto"/>
        <w:rPr>
          <w:rFonts w:ascii="Trebuchet MS" w:hAnsi="Trebuchet MS"/>
          <w:sz w:val="24"/>
          <w:szCs w:val="24"/>
        </w:rPr>
      </w:pPr>
      <w:r>
        <w:rPr>
          <w:rFonts w:ascii="Trebuchet MS" w:hAnsi="Trebuchet MS"/>
          <w:sz w:val="24"/>
          <w:szCs w:val="24"/>
        </w:rPr>
        <w:t>4</w:t>
      </w:r>
      <w:r w:rsidR="00005556">
        <w:rPr>
          <w:rFonts w:ascii="Trebuchet MS" w:hAnsi="Trebuchet MS"/>
          <w:sz w:val="24"/>
          <w:szCs w:val="24"/>
        </w:rPr>
        <w:t xml:space="preserve">.5 </w:t>
      </w:r>
      <w:r w:rsidR="00AA625C" w:rsidRPr="0009386B">
        <w:rPr>
          <w:rFonts w:ascii="Trebuchet MS" w:hAnsi="Trebuchet MS"/>
          <w:sz w:val="24"/>
          <w:szCs w:val="24"/>
        </w:rPr>
        <w:t>When there is a specific need for the information to be shared at that</w:t>
      </w:r>
      <w:r w:rsidR="00AA625C" w:rsidRPr="0009386B">
        <w:rPr>
          <w:rFonts w:ascii="Trebuchet MS" w:hAnsi="Trebuchet MS"/>
          <w:spacing w:val="-23"/>
          <w:sz w:val="24"/>
          <w:szCs w:val="24"/>
        </w:rPr>
        <w:t xml:space="preserve"> </w:t>
      </w:r>
      <w:r w:rsidR="00AA625C" w:rsidRPr="0009386B">
        <w:rPr>
          <w:rFonts w:ascii="Trebuchet MS" w:hAnsi="Trebuchet MS"/>
          <w:sz w:val="24"/>
          <w:szCs w:val="24"/>
        </w:rPr>
        <w:t>time.</w:t>
      </w:r>
    </w:p>
    <w:p w14:paraId="365FF36B" w14:textId="77777777" w:rsidR="00AA625C" w:rsidRPr="00A5476C" w:rsidRDefault="00AA625C" w:rsidP="00AA625C">
      <w:pPr>
        <w:pStyle w:val="BodyText"/>
        <w:spacing w:before="7"/>
        <w:rPr>
          <w:rFonts w:ascii="Trebuchet MS" w:hAnsi="Trebuchet MS"/>
        </w:rPr>
      </w:pPr>
    </w:p>
    <w:p w14:paraId="1A0A0E24" w14:textId="66A1C36C" w:rsidR="00AA625C" w:rsidRPr="00A5476C" w:rsidRDefault="004C75F0" w:rsidP="00F70686">
      <w:pPr>
        <w:pStyle w:val="NoSpacing"/>
        <w:rPr>
          <w:rFonts w:ascii="Trebuchet MS" w:hAnsi="Trebuchet MS"/>
          <w:sz w:val="24"/>
          <w:szCs w:val="24"/>
        </w:rPr>
      </w:pPr>
      <w:r>
        <w:rPr>
          <w:rFonts w:ascii="Trebuchet MS" w:hAnsi="Trebuchet MS"/>
          <w:sz w:val="24"/>
          <w:szCs w:val="24"/>
        </w:rPr>
        <w:t>4</w:t>
      </w:r>
      <w:r w:rsidR="00F70686" w:rsidRPr="00A5476C">
        <w:rPr>
          <w:rFonts w:ascii="Trebuchet MS" w:hAnsi="Trebuchet MS"/>
          <w:sz w:val="24"/>
          <w:szCs w:val="24"/>
        </w:rPr>
        <w:t xml:space="preserve">.5.1 </w:t>
      </w:r>
      <w:r w:rsidR="00AA625C" w:rsidRPr="00A5476C">
        <w:rPr>
          <w:rFonts w:ascii="Trebuchet MS" w:hAnsi="Trebuchet MS"/>
          <w:sz w:val="24"/>
          <w:szCs w:val="24"/>
        </w:rPr>
        <w:t>There is a positive duty to share information and to seek the agreement of the subject about whom the information is being shared where it is appropriate, necessary and safe to do so.</w:t>
      </w:r>
    </w:p>
    <w:p w14:paraId="0ECD2C62" w14:textId="77777777" w:rsidR="00AA625C" w:rsidRPr="00A5476C" w:rsidRDefault="00AA625C" w:rsidP="00AA625C">
      <w:pPr>
        <w:pStyle w:val="NoSpacing"/>
        <w:rPr>
          <w:rFonts w:ascii="Trebuchet MS" w:hAnsi="Trebuchet MS"/>
          <w:sz w:val="24"/>
          <w:szCs w:val="24"/>
        </w:rPr>
      </w:pPr>
    </w:p>
    <w:p w14:paraId="702C7301" w14:textId="64EC5854" w:rsidR="00AA625C" w:rsidRPr="00A5476C" w:rsidRDefault="004C75F0" w:rsidP="00F70686">
      <w:pPr>
        <w:pStyle w:val="NoSpacing"/>
        <w:rPr>
          <w:rFonts w:ascii="Trebuchet MS" w:hAnsi="Trebuchet MS"/>
          <w:sz w:val="24"/>
          <w:szCs w:val="24"/>
        </w:rPr>
      </w:pPr>
      <w:r>
        <w:rPr>
          <w:rFonts w:ascii="Trebuchet MS" w:hAnsi="Trebuchet MS"/>
          <w:sz w:val="24"/>
          <w:szCs w:val="24"/>
        </w:rPr>
        <w:t>4</w:t>
      </w:r>
      <w:r w:rsidR="00F70686" w:rsidRPr="00A5476C">
        <w:rPr>
          <w:rFonts w:ascii="Trebuchet MS" w:hAnsi="Trebuchet MS"/>
          <w:sz w:val="24"/>
          <w:szCs w:val="24"/>
        </w:rPr>
        <w:t xml:space="preserve">.5.2 </w:t>
      </w:r>
      <w:r w:rsidR="00AA625C" w:rsidRPr="00A5476C">
        <w:rPr>
          <w:rFonts w:ascii="Trebuchet MS" w:hAnsi="Trebuchet MS"/>
          <w:sz w:val="24"/>
          <w:szCs w:val="24"/>
        </w:rPr>
        <w:t xml:space="preserve">There is a power to share information and a duty to share information. The duty to share information with relevant partners to prevent abuse and crime is contained in the Care Act 2014 and </w:t>
      </w:r>
      <w:r w:rsidR="00AA625C" w:rsidRPr="00A5476C">
        <w:rPr>
          <w:rFonts w:ascii="Trebuchet MS" w:hAnsi="Trebuchet MS"/>
          <w:sz w:val="24"/>
          <w:szCs w:val="24"/>
          <w:lang w:val="en"/>
        </w:rPr>
        <w:t xml:space="preserve">Safeguarding Vulnerable Groups Act 2006. </w:t>
      </w:r>
      <w:r w:rsidR="00AA625C" w:rsidRPr="00A5476C">
        <w:rPr>
          <w:rFonts w:ascii="Trebuchet MS" w:hAnsi="Trebuchet MS"/>
          <w:sz w:val="24"/>
          <w:szCs w:val="24"/>
        </w:rPr>
        <w:t xml:space="preserve"> </w:t>
      </w:r>
    </w:p>
    <w:p w14:paraId="7444F189" w14:textId="77777777" w:rsidR="00AA625C" w:rsidRPr="00A5476C" w:rsidRDefault="00AA625C" w:rsidP="00AA625C">
      <w:pPr>
        <w:pStyle w:val="NoSpacing"/>
        <w:rPr>
          <w:rFonts w:ascii="Trebuchet MS" w:hAnsi="Trebuchet MS"/>
          <w:sz w:val="24"/>
          <w:szCs w:val="24"/>
        </w:rPr>
      </w:pPr>
    </w:p>
    <w:p w14:paraId="58C51C79" w14:textId="7A2AF8D6" w:rsidR="00B41A17" w:rsidRPr="00A5476C" w:rsidRDefault="004C75F0" w:rsidP="00AA625C">
      <w:pPr>
        <w:pStyle w:val="NoSpacing"/>
        <w:rPr>
          <w:rFonts w:ascii="Trebuchet MS" w:hAnsi="Trebuchet MS"/>
          <w:sz w:val="28"/>
          <w:szCs w:val="28"/>
        </w:rPr>
      </w:pPr>
      <w:r>
        <w:rPr>
          <w:rFonts w:ascii="Trebuchet MS" w:hAnsi="Trebuchet MS"/>
          <w:sz w:val="24"/>
          <w:szCs w:val="24"/>
        </w:rPr>
        <w:t>4</w:t>
      </w:r>
      <w:r w:rsidR="00A5476C" w:rsidRPr="00A5476C">
        <w:rPr>
          <w:rFonts w:ascii="Trebuchet MS" w:hAnsi="Trebuchet MS"/>
          <w:sz w:val="24"/>
          <w:szCs w:val="24"/>
        </w:rPr>
        <w:t xml:space="preserve">.5.3 </w:t>
      </w:r>
      <w:r w:rsidR="00AA625C" w:rsidRPr="00A5476C">
        <w:rPr>
          <w:rFonts w:ascii="Trebuchet MS" w:hAnsi="Trebuchet MS"/>
          <w:sz w:val="24"/>
          <w:szCs w:val="24"/>
        </w:rPr>
        <w:t>While the Care Act 2014 provides a mechanism for information sharing, the guidance suggests that consent should be obtained where possible. However, if consent is not obtained but judged to be in the public interest to share, then the information can</w:t>
      </w:r>
      <w:r w:rsidR="007D0B3D">
        <w:rPr>
          <w:rFonts w:ascii="Trebuchet MS" w:hAnsi="Trebuchet MS"/>
          <w:sz w:val="24"/>
          <w:szCs w:val="24"/>
        </w:rPr>
        <w:t xml:space="preserve"> be shared. </w:t>
      </w:r>
    </w:p>
    <w:p w14:paraId="3CE0E898" w14:textId="77777777" w:rsidR="00A5476C" w:rsidRDefault="00A5476C" w:rsidP="00C50491">
      <w:pPr>
        <w:pStyle w:val="NoSpacing"/>
        <w:rPr>
          <w:rFonts w:ascii="Trebuchet MS" w:hAnsi="Trebuchet MS"/>
          <w:sz w:val="28"/>
          <w:szCs w:val="28"/>
        </w:rPr>
      </w:pPr>
    </w:p>
    <w:p w14:paraId="5635F876" w14:textId="54A3A06C" w:rsidR="00FA2719" w:rsidRPr="00CC2AA5" w:rsidRDefault="004C75F0" w:rsidP="00C50491">
      <w:pPr>
        <w:pStyle w:val="NoSpacing"/>
        <w:rPr>
          <w:rFonts w:ascii="Trebuchet MS" w:hAnsi="Trebuchet MS"/>
          <w:b/>
          <w:sz w:val="28"/>
          <w:szCs w:val="28"/>
        </w:rPr>
      </w:pPr>
      <w:r w:rsidRPr="00CC2AA5">
        <w:rPr>
          <w:rFonts w:ascii="Trebuchet MS" w:hAnsi="Trebuchet MS"/>
          <w:b/>
          <w:sz w:val="28"/>
          <w:szCs w:val="28"/>
        </w:rPr>
        <w:t>5</w:t>
      </w:r>
      <w:r w:rsidR="00B41A17" w:rsidRPr="00CC2AA5">
        <w:rPr>
          <w:rFonts w:ascii="Trebuchet MS" w:hAnsi="Trebuchet MS"/>
          <w:b/>
          <w:sz w:val="28"/>
          <w:szCs w:val="28"/>
        </w:rPr>
        <w:t>. Scope</w:t>
      </w:r>
    </w:p>
    <w:p w14:paraId="75E0D2C5" w14:textId="22DC3190" w:rsidR="007249A3" w:rsidRPr="004C75F0" w:rsidRDefault="007249A3" w:rsidP="008116B9">
      <w:pPr>
        <w:pStyle w:val="ListParagraph"/>
        <w:numPr>
          <w:ilvl w:val="1"/>
          <w:numId w:val="14"/>
        </w:numPr>
        <w:tabs>
          <w:tab w:val="left" w:pos="709"/>
          <w:tab w:val="left" w:pos="879"/>
          <w:tab w:val="left" w:pos="881"/>
        </w:tabs>
        <w:spacing w:before="252"/>
        <w:rPr>
          <w:rFonts w:ascii="Trebuchet MS" w:hAnsi="Trebuchet MS"/>
          <w:sz w:val="24"/>
          <w:szCs w:val="24"/>
        </w:rPr>
      </w:pPr>
      <w:r w:rsidRPr="004C75F0">
        <w:rPr>
          <w:rFonts w:ascii="Trebuchet MS" w:hAnsi="Trebuchet MS"/>
          <w:sz w:val="24"/>
          <w:szCs w:val="24"/>
        </w:rPr>
        <w:t>This protocol and process applies to allegations</w:t>
      </w:r>
      <w:r w:rsidRPr="004C75F0">
        <w:rPr>
          <w:rFonts w:ascii="Trebuchet MS" w:hAnsi="Trebuchet MS"/>
          <w:spacing w:val="-16"/>
          <w:sz w:val="24"/>
          <w:szCs w:val="24"/>
        </w:rPr>
        <w:t xml:space="preserve"> </w:t>
      </w:r>
      <w:r w:rsidRPr="004C75F0">
        <w:rPr>
          <w:rFonts w:ascii="Trebuchet MS" w:hAnsi="Trebuchet MS"/>
          <w:sz w:val="24"/>
          <w:szCs w:val="24"/>
        </w:rPr>
        <w:t>about:</w:t>
      </w:r>
    </w:p>
    <w:p w14:paraId="4D02C7FA" w14:textId="4F1BCE91" w:rsidR="007249A3" w:rsidRPr="00AA08A3" w:rsidRDefault="007249A3" w:rsidP="008116B9">
      <w:pPr>
        <w:pStyle w:val="NoSpacing"/>
        <w:widowControl w:val="0"/>
        <w:numPr>
          <w:ilvl w:val="0"/>
          <w:numId w:val="15"/>
        </w:numPr>
        <w:autoSpaceDE w:val="0"/>
        <w:autoSpaceDN w:val="0"/>
        <w:rPr>
          <w:rFonts w:ascii="Trebuchet MS" w:hAnsi="Trebuchet MS"/>
          <w:sz w:val="24"/>
          <w:szCs w:val="24"/>
        </w:rPr>
      </w:pPr>
      <w:r w:rsidRPr="00AA08A3">
        <w:rPr>
          <w:rFonts w:ascii="Trebuchet MS" w:hAnsi="Trebuchet MS"/>
          <w:sz w:val="24"/>
          <w:szCs w:val="24"/>
        </w:rPr>
        <w:t>a person who works with adults with care and support needs in a position of trust, whether an employee, volunteer or student (paid or unpaid); and,</w:t>
      </w:r>
    </w:p>
    <w:p w14:paraId="7EBE97C2" w14:textId="4A9B3A6E" w:rsidR="007249A3" w:rsidRPr="00AA08A3" w:rsidRDefault="007249A3" w:rsidP="008116B9">
      <w:pPr>
        <w:pStyle w:val="NoSpacing"/>
        <w:widowControl w:val="0"/>
        <w:numPr>
          <w:ilvl w:val="0"/>
          <w:numId w:val="15"/>
        </w:numPr>
        <w:autoSpaceDE w:val="0"/>
        <w:autoSpaceDN w:val="0"/>
        <w:rPr>
          <w:rFonts w:ascii="Trebuchet MS" w:hAnsi="Trebuchet MS"/>
          <w:sz w:val="24"/>
          <w:szCs w:val="24"/>
        </w:rPr>
      </w:pPr>
      <w:r w:rsidRPr="00AA08A3">
        <w:rPr>
          <w:rFonts w:ascii="Trebuchet MS" w:hAnsi="Trebuchet MS"/>
          <w:sz w:val="24"/>
          <w:szCs w:val="24"/>
        </w:rPr>
        <w:t>where those concerns or allegations indicate the person in a position of</w:t>
      </w:r>
      <w:r w:rsidRPr="00AA08A3">
        <w:rPr>
          <w:rFonts w:ascii="Trebuchet MS" w:hAnsi="Trebuchet MS"/>
          <w:spacing w:val="23"/>
          <w:sz w:val="24"/>
          <w:szCs w:val="24"/>
        </w:rPr>
        <w:t xml:space="preserve"> </w:t>
      </w:r>
      <w:r w:rsidRPr="00AA08A3">
        <w:rPr>
          <w:rFonts w:ascii="Trebuchet MS" w:hAnsi="Trebuchet MS"/>
          <w:sz w:val="24"/>
          <w:szCs w:val="24"/>
        </w:rPr>
        <w:t>trust</w:t>
      </w:r>
    </w:p>
    <w:p w14:paraId="70D0FACA" w14:textId="0FBDA1EE" w:rsidR="007249A3" w:rsidRPr="00AA08A3" w:rsidRDefault="007249A3" w:rsidP="008116B9">
      <w:pPr>
        <w:pStyle w:val="NoSpacing"/>
        <w:widowControl w:val="0"/>
        <w:numPr>
          <w:ilvl w:val="0"/>
          <w:numId w:val="15"/>
        </w:numPr>
        <w:autoSpaceDE w:val="0"/>
        <w:autoSpaceDN w:val="0"/>
        <w:rPr>
          <w:rFonts w:ascii="Trebuchet MS" w:hAnsi="Trebuchet MS"/>
          <w:sz w:val="24"/>
          <w:szCs w:val="24"/>
        </w:rPr>
      </w:pPr>
      <w:r w:rsidRPr="00AA08A3">
        <w:rPr>
          <w:rFonts w:ascii="Trebuchet MS" w:hAnsi="Trebuchet MS"/>
          <w:sz w:val="24"/>
          <w:szCs w:val="24"/>
        </w:rPr>
        <w:t>poses a risk of harm to adults with care and support needs.</w:t>
      </w:r>
    </w:p>
    <w:p w14:paraId="1C320767" w14:textId="77777777" w:rsidR="007249A3" w:rsidRPr="00AA08A3" w:rsidRDefault="007249A3" w:rsidP="007249A3">
      <w:pPr>
        <w:pStyle w:val="NoSpacing"/>
        <w:rPr>
          <w:rFonts w:ascii="Trebuchet MS" w:hAnsi="Trebuchet MS"/>
          <w:sz w:val="24"/>
          <w:szCs w:val="24"/>
        </w:rPr>
      </w:pPr>
    </w:p>
    <w:p w14:paraId="4652C32C" w14:textId="66AD35EE" w:rsidR="007249A3" w:rsidRPr="00AA08A3" w:rsidRDefault="007249A3" w:rsidP="004954F4">
      <w:pPr>
        <w:pStyle w:val="BodyText"/>
        <w:numPr>
          <w:ilvl w:val="1"/>
          <w:numId w:val="14"/>
        </w:numPr>
        <w:ind w:right="329"/>
        <w:rPr>
          <w:rFonts w:ascii="Trebuchet MS" w:hAnsi="Trebuchet MS"/>
        </w:rPr>
      </w:pPr>
      <w:r w:rsidRPr="00AA08A3">
        <w:rPr>
          <w:rFonts w:ascii="Trebuchet MS" w:hAnsi="Trebuchet MS"/>
        </w:rPr>
        <w:t>These concerns or allegations could include, for example, that the person in a position of trust has:</w:t>
      </w:r>
    </w:p>
    <w:p w14:paraId="23E95F01" w14:textId="77777777" w:rsidR="00B018F4" w:rsidRDefault="00B018F4" w:rsidP="00D2593C">
      <w:pPr>
        <w:pStyle w:val="NoSpacing"/>
        <w:widowControl w:val="0"/>
        <w:autoSpaceDE w:val="0"/>
        <w:autoSpaceDN w:val="0"/>
        <w:rPr>
          <w:rFonts w:ascii="Trebuchet MS" w:hAnsi="Trebuchet MS"/>
          <w:sz w:val="24"/>
          <w:szCs w:val="24"/>
        </w:rPr>
      </w:pPr>
    </w:p>
    <w:p w14:paraId="70165722" w14:textId="065CDFB5" w:rsidR="007249A3" w:rsidRPr="00AA08A3" w:rsidRDefault="00B018F4" w:rsidP="004954F4">
      <w:pPr>
        <w:pStyle w:val="NoSpacing"/>
        <w:widowControl w:val="0"/>
        <w:numPr>
          <w:ilvl w:val="0"/>
          <w:numId w:val="16"/>
        </w:numPr>
        <w:autoSpaceDE w:val="0"/>
        <w:autoSpaceDN w:val="0"/>
        <w:rPr>
          <w:rFonts w:ascii="Trebuchet MS" w:hAnsi="Trebuchet MS"/>
          <w:sz w:val="24"/>
          <w:szCs w:val="24"/>
        </w:rPr>
      </w:pPr>
      <w:r>
        <w:rPr>
          <w:rFonts w:ascii="Trebuchet MS" w:hAnsi="Trebuchet MS"/>
          <w:sz w:val="24"/>
          <w:szCs w:val="24"/>
        </w:rPr>
        <w:t>behaved</w:t>
      </w:r>
      <w:r w:rsidR="007249A3" w:rsidRPr="00AA08A3">
        <w:rPr>
          <w:rFonts w:ascii="Trebuchet MS" w:hAnsi="Trebuchet MS"/>
          <w:sz w:val="24"/>
          <w:szCs w:val="24"/>
        </w:rPr>
        <w:t xml:space="preserve"> in a way that has harmed or may have harmed an adult or</w:t>
      </w:r>
      <w:r w:rsidR="007249A3" w:rsidRPr="00AA08A3">
        <w:rPr>
          <w:rFonts w:ascii="Trebuchet MS" w:hAnsi="Trebuchet MS"/>
          <w:spacing w:val="-37"/>
          <w:sz w:val="24"/>
          <w:szCs w:val="24"/>
        </w:rPr>
        <w:t xml:space="preserve"> </w:t>
      </w:r>
      <w:r w:rsidR="007249A3" w:rsidRPr="00AA08A3">
        <w:rPr>
          <w:rFonts w:ascii="Trebuchet MS" w:hAnsi="Trebuchet MS"/>
          <w:sz w:val="24"/>
          <w:szCs w:val="24"/>
        </w:rPr>
        <w:t>child;</w:t>
      </w:r>
    </w:p>
    <w:p w14:paraId="24199FA0" w14:textId="33FED0D6" w:rsidR="007249A3" w:rsidRPr="00AA08A3" w:rsidRDefault="007249A3" w:rsidP="004954F4">
      <w:pPr>
        <w:pStyle w:val="NoSpacing"/>
        <w:widowControl w:val="0"/>
        <w:numPr>
          <w:ilvl w:val="0"/>
          <w:numId w:val="16"/>
        </w:numPr>
        <w:autoSpaceDE w:val="0"/>
        <w:autoSpaceDN w:val="0"/>
        <w:rPr>
          <w:rFonts w:ascii="Trebuchet MS" w:hAnsi="Trebuchet MS"/>
          <w:sz w:val="24"/>
          <w:szCs w:val="24"/>
        </w:rPr>
      </w:pPr>
      <w:r w:rsidRPr="00AA08A3">
        <w:rPr>
          <w:rFonts w:ascii="Trebuchet MS" w:hAnsi="Trebuchet MS"/>
          <w:sz w:val="24"/>
          <w:szCs w:val="24"/>
        </w:rPr>
        <w:t>possibly committed a criminal offence against, or related to, an adult or</w:t>
      </w:r>
      <w:r w:rsidRPr="00AA08A3">
        <w:rPr>
          <w:rFonts w:ascii="Trebuchet MS" w:hAnsi="Trebuchet MS"/>
          <w:spacing w:val="-36"/>
          <w:sz w:val="24"/>
          <w:szCs w:val="24"/>
        </w:rPr>
        <w:t xml:space="preserve"> </w:t>
      </w:r>
      <w:r w:rsidRPr="00AA08A3">
        <w:rPr>
          <w:rFonts w:ascii="Trebuchet MS" w:hAnsi="Trebuchet MS"/>
          <w:sz w:val="24"/>
          <w:szCs w:val="24"/>
        </w:rPr>
        <w:t>child;</w:t>
      </w:r>
    </w:p>
    <w:p w14:paraId="060D82BD" w14:textId="519E706B" w:rsidR="007249A3" w:rsidRPr="00AA08A3" w:rsidRDefault="007249A3" w:rsidP="004954F4">
      <w:pPr>
        <w:pStyle w:val="NoSpacing"/>
        <w:widowControl w:val="0"/>
        <w:numPr>
          <w:ilvl w:val="0"/>
          <w:numId w:val="16"/>
        </w:numPr>
        <w:autoSpaceDE w:val="0"/>
        <w:autoSpaceDN w:val="0"/>
        <w:rPr>
          <w:rFonts w:ascii="Trebuchet MS" w:hAnsi="Trebuchet MS"/>
          <w:sz w:val="24"/>
          <w:szCs w:val="24"/>
        </w:rPr>
      </w:pPr>
      <w:r w:rsidRPr="00AA08A3">
        <w:rPr>
          <w:rFonts w:ascii="Trebuchet MS" w:hAnsi="Trebuchet MS"/>
          <w:sz w:val="24"/>
          <w:szCs w:val="24"/>
        </w:rPr>
        <w:t>behaved towards an adult or child in a way that indicates they may pose a</w:t>
      </w:r>
      <w:r w:rsidR="003E5E1C">
        <w:rPr>
          <w:rFonts w:ascii="Trebuchet MS" w:hAnsi="Trebuchet MS"/>
          <w:sz w:val="24"/>
          <w:szCs w:val="24"/>
        </w:rPr>
        <w:t xml:space="preserve"> </w:t>
      </w:r>
      <w:r w:rsidRPr="00AA08A3">
        <w:rPr>
          <w:rFonts w:ascii="Trebuchet MS" w:hAnsi="Trebuchet MS"/>
          <w:sz w:val="24"/>
          <w:szCs w:val="24"/>
        </w:rPr>
        <w:t>risk of harm to adults with care and support</w:t>
      </w:r>
      <w:r w:rsidRPr="00AA08A3">
        <w:rPr>
          <w:rFonts w:ascii="Trebuchet MS" w:hAnsi="Trebuchet MS"/>
          <w:spacing w:val="-6"/>
          <w:sz w:val="24"/>
          <w:szCs w:val="24"/>
        </w:rPr>
        <w:t xml:space="preserve"> </w:t>
      </w:r>
      <w:r w:rsidRPr="00AA08A3">
        <w:rPr>
          <w:rFonts w:ascii="Trebuchet MS" w:hAnsi="Trebuchet MS"/>
          <w:sz w:val="24"/>
          <w:szCs w:val="24"/>
        </w:rPr>
        <w:t>needs.</w:t>
      </w:r>
    </w:p>
    <w:p w14:paraId="4F5D3652" w14:textId="77777777" w:rsidR="007249A3" w:rsidRPr="00AA08A3" w:rsidRDefault="007249A3" w:rsidP="007249A3">
      <w:pPr>
        <w:pStyle w:val="BodyText"/>
        <w:rPr>
          <w:rFonts w:ascii="Trebuchet MS" w:hAnsi="Trebuchet MS"/>
        </w:rPr>
      </w:pPr>
    </w:p>
    <w:p w14:paraId="45F9C154" w14:textId="2B365F4D" w:rsidR="007249A3" w:rsidRPr="004954F4" w:rsidRDefault="006E2B24" w:rsidP="004954F4">
      <w:pPr>
        <w:pStyle w:val="ListParagraph"/>
        <w:numPr>
          <w:ilvl w:val="1"/>
          <w:numId w:val="14"/>
        </w:numPr>
        <w:tabs>
          <w:tab w:val="left" w:pos="952"/>
        </w:tabs>
        <w:ind w:right="118"/>
        <w:rPr>
          <w:rFonts w:ascii="Trebuchet MS" w:hAnsi="Trebuchet MS"/>
          <w:sz w:val="24"/>
          <w:szCs w:val="24"/>
        </w:rPr>
      </w:pPr>
      <w:r w:rsidRPr="004954F4">
        <w:rPr>
          <w:rFonts w:ascii="Trebuchet MS" w:hAnsi="Trebuchet MS"/>
          <w:sz w:val="24"/>
          <w:szCs w:val="24"/>
        </w:rPr>
        <w:t xml:space="preserve">This </w:t>
      </w:r>
      <w:r w:rsidR="0047760D" w:rsidRPr="004954F4">
        <w:rPr>
          <w:rFonts w:ascii="Trebuchet MS" w:hAnsi="Trebuchet MS"/>
          <w:sz w:val="24"/>
          <w:szCs w:val="24"/>
        </w:rPr>
        <w:t>protocol applies</w:t>
      </w:r>
      <w:r w:rsidR="007249A3" w:rsidRPr="004954F4">
        <w:rPr>
          <w:rFonts w:ascii="Trebuchet MS" w:hAnsi="Trebuchet MS"/>
          <w:sz w:val="24"/>
          <w:szCs w:val="24"/>
        </w:rPr>
        <w:t xml:space="preserve"> whether the allegation relates to a current or an historical concern. Where the allegation is historical, it is also important to ascertain if the person is currently working with adults with care and support needs or children and if that is the case, to consider whether information should be shared with the current employer.</w:t>
      </w:r>
    </w:p>
    <w:p w14:paraId="69D58AEE" w14:textId="409FC52D" w:rsidR="007249A3" w:rsidRPr="00C9611D" w:rsidRDefault="004954F4" w:rsidP="007249A3">
      <w:pPr>
        <w:pStyle w:val="NoSpacing"/>
        <w:rPr>
          <w:rFonts w:ascii="Trebuchet MS" w:hAnsi="Trebuchet MS"/>
          <w:b/>
          <w:sz w:val="28"/>
          <w:szCs w:val="28"/>
        </w:rPr>
      </w:pPr>
      <w:r>
        <w:rPr>
          <w:rFonts w:ascii="Trebuchet MS" w:hAnsi="Trebuchet MS"/>
          <w:b/>
          <w:sz w:val="28"/>
          <w:szCs w:val="28"/>
        </w:rPr>
        <w:t>6</w:t>
      </w:r>
      <w:r w:rsidR="00617ADD" w:rsidRPr="00C9611D">
        <w:rPr>
          <w:rFonts w:ascii="Trebuchet MS" w:hAnsi="Trebuchet MS"/>
          <w:b/>
          <w:sz w:val="28"/>
          <w:szCs w:val="28"/>
        </w:rPr>
        <w:t>.  Out of Scope:</w:t>
      </w:r>
    </w:p>
    <w:p w14:paraId="2860A5B1" w14:textId="77777777" w:rsidR="005F51B5" w:rsidRPr="00D2593C" w:rsidRDefault="005F51B5" w:rsidP="005F51B5">
      <w:pPr>
        <w:pStyle w:val="NoSpacing"/>
        <w:rPr>
          <w:rFonts w:ascii="Trebuchet MS" w:hAnsi="Trebuchet MS"/>
          <w:sz w:val="24"/>
          <w:szCs w:val="24"/>
        </w:rPr>
      </w:pPr>
    </w:p>
    <w:p w14:paraId="2B78B414" w14:textId="6D5F78FC" w:rsidR="009467C1" w:rsidRDefault="009D759C" w:rsidP="004954F4">
      <w:pPr>
        <w:pStyle w:val="NoSpacing"/>
        <w:numPr>
          <w:ilvl w:val="1"/>
          <w:numId w:val="19"/>
        </w:numPr>
        <w:rPr>
          <w:rFonts w:ascii="Trebuchet MS" w:hAnsi="Trebuchet MS"/>
          <w:sz w:val="24"/>
          <w:szCs w:val="24"/>
        </w:rPr>
      </w:pPr>
      <w:r w:rsidRPr="00D2593C">
        <w:rPr>
          <w:rFonts w:ascii="Trebuchet MS" w:hAnsi="Trebuchet MS"/>
          <w:sz w:val="24"/>
          <w:szCs w:val="24"/>
        </w:rPr>
        <w:lastRenderedPageBreak/>
        <w:t xml:space="preserve"> </w:t>
      </w:r>
      <w:r w:rsidRPr="00AA08A3">
        <w:rPr>
          <w:rFonts w:ascii="Trebuchet MS" w:hAnsi="Trebuchet MS"/>
          <w:sz w:val="24"/>
          <w:szCs w:val="24"/>
        </w:rPr>
        <w:t>The</w:t>
      </w:r>
      <w:r w:rsidR="009467C1" w:rsidRPr="00AA08A3">
        <w:rPr>
          <w:rFonts w:ascii="Trebuchet MS" w:hAnsi="Trebuchet MS"/>
          <w:sz w:val="24"/>
          <w:szCs w:val="24"/>
        </w:rPr>
        <w:t xml:space="preserve"> protocol does not cover complaints or concerns raised about the quality of the care or professional practice provided by the person in a Position of Trust (P</w:t>
      </w:r>
      <w:r w:rsidR="009467C1">
        <w:rPr>
          <w:rFonts w:ascii="Trebuchet MS" w:hAnsi="Trebuchet MS"/>
          <w:sz w:val="24"/>
          <w:szCs w:val="24"/>
        </w:rPr>
        <w:t>IPO</w:t>
      </w:r>
      <w:r w:rsidR="009467C1" w:rsidRPr="00AA08A3">
        <w:rPr>
          <w:rFonts w:ascii="Trebuchet MS" w:hAnsi="Trebuchet MS"/>
          <w:sz w:val="24"/>
          <w:szCs w:val="24"/>
        </w:rPr>
        <w:t>T). Concerns or complaints about quality of care or practice should be dealt with under the relevant agency or individual complaint, competence or representations</w:t>
      </w:r>
      <w:r w:rsidR="009467C1" w:rsidRPr="00AA08A3">
        <w:rPr>
          <w:rFonts w:ascii="Trebuchet MS" w:hAnsi="Trebuchet MS"/>
          <w:spacing w:val="-10"/>
          <w:sz w:val="24"/>
          <w:szCs w:val="24"/>
        </w:rPr>
        <w:t xml:space="preserve"> </w:t>
      </w:r>
      <w:r w:rsidR="009467C1" w:rsidRPr="00AA08A3">
        <w:rPr>
          <w:rFonts w:ascii="Trebuchet MS" w:hAnsi="Trebuchet MS"/>
          <w:sz w:val="24"/>
          <w:szCs w:val="24"/>
        </w:rPr>
        <w:t>processes</w:t>
      </w:r>
      <w:r w:rsidR="00C555AA">
        <w:rPr>
          <w:rFonts w:ascii="Trebuchet MS" w:hAnsi="Trebuchet MS"/>
          <w:sz w:val="24"/>
          <w:szCs w:val="24"/>
        </w:rPr>
        <w:t>.</w:t>
      </w:r>
    </w:p>
    <w:p w14:paraId="7D5DB6E2" w14:textId="77777777" w:rsidR="00C555AA" w:rsidRDefault="00C555AA" w:rsidP="005F51B5">
      <w:pPr>
        <w:pStyle w:val="NoSpacing"/>
        <w:rPr>
          <w:rFonts w:ascii="Trebuchet MS" w:hAnsi="Trebuchet MS"/>
          <w:sz w:val="24"/>
          <w:szCs w:val="24"/>
        </w:rPr>
      </w:pPr>
    </w:p>
    <w:p w14:paraId="62D1124C" w14:textId="245ED648" w:rsidR="00782AB3" w:rsidRPr="004954F4" w:rsidRDefault="009467C1" w:rsidP="004954F4">
      <w:pPr>
        <w:pStyle w:val="NoSpacing"/>
        <w:numPr>
          <w:ilvl w:val="1"/>
          <w:numId w:val="19"/>
        </w:numPr>
        <w:rPr>
          <w:rFonts w:ascii="Trebuchet MS" w:hAnsi="Trebuchet MS"/>
        </w:rPr>
      </w:pPr>
      <w:r>
        <w:rPr>
          <w:rFonts w:ascii="Trebuchet MS" w:hAnsi="Trebuchet MS"/>
          <w:sz w:val="24"/>
          <w:szCs w:val="24"/>
        </w:rPr>
        <w:t xml:space="preserve"> </w:t>
      </w:r>
      <w:r w:rsidR="00D2593C" w:rsidRPr="00D2593C">
        <w:rPr>
          <w:rFonts w:ascii="Trebuchet MS" w:hAnsi="Trebuchet MS"/>
          <w:sz w:val="24"/>
          <w:szCs w:val="24"/>
        </w:rPr>
        <w:t>If</w:t>
      </w:r>
      <w:r w:rsidR="00782AB3" w:rsidRPr="00D2593C">
        <w:rPr>
          <w:rFonts w:ascii="Trebuchet MS" w:hAnsi="Trebuchet MS"/>
          <w:sz w:val="24"/>
          <w:szCs w:val="24"/>
        </w:rPr>
        <w:t xml:space="preserve"> an allegation is made that does concern the actions of a professional, or volunteer which related to alleged abuse or neglect of a person with care and support needs and this amounts to a safeguarding enquiry, then such an allegation should be dealt with by following the local adult safeguarding policies and procedures. </w:t>
      </w:r>
    </w:p>
    <w:p w14:paraId="2F921AC7" w14:textId="77777777" w:rsidR="004954F4" w:rsidRDefault="004954F4" w:rsidP="004954F4">
      <w:pPr>
        <w:pStyle w:val="ListParagraph"/>
        <w:rPr>
          <w:rFonts w:ascii="Trebuchet MS" w:hAnsi="Trebuchet MS"/>
        </w:rPr>
      </w:pPr>
    </w:p>
    <w:p w14:paraId="09B7E0B4" w14:textId="27D883CE" w:rsidR="00782AB3" w:rsidRDefault="004954F4" w:rsidP="004954F4">
      <w:pPr>
        <w:pStyle w:val="NoSpacing"/>
        <w:numPr>
          <w:ilvl w:val="1"/>
          <w:numId w:val="19"/>
        </w:numPr>
        <w:rPr>
          <w:rFonts w:ascii="Trebuchet MS" w:hAnsi="Trebuchet MS"/>
          <w:sz w:val="24"/>
          <w:szCs w:val="24"/>
        </w:rPr>
      </w:pPr>
      <w:r>
        <w:rPr>
          <w:rFonts w:ascii="Trebuchet MS" w:hAnsi="Trebuchet MS"/>
          <w:sz w:val="24"/>
          <w:szCs w:val="24"/>
        </w:rPr>
        <w:t xml:space="preserve"> </w:t>
      </w:r>
      <w:r w:rsidR="00782AB3" w:rsidRPr="004954F4">
        <w:rPr>
          <w:rFonts w:ascii="Trebuchet MS" w:hAnsi="Trebuchet MS"/>
          <w:sz w:val="24"/>
          <w:szCs w:val="24"/>
        </w:rPr>
        <w:t>Section 14 of the Care Act Care and Support Statutory</w:t>
      </w:r>
      <w:r w:rsidR="00FF0E9B" w:rsidRPr="004954F4">
        <w:rPr>
          <w:rFonts w:ascii="Trebuchet MS" w:hAnsi="Trebuchet MS"/>
          <w:sz w:val="24"/>
          <w:szCs w:val="24"/>
        </w:rPr>
        <w:t xml:space="preserve">: </w:t>
      </w:r>
      <w:r w:rsidR="004A35D7" w:rsidRPr="004954F4">
        <w:rPr>
          <w:rFonts w:ascii="Trebuchet MS" w:hAnsi="Trebuchet MS"/>
          <w:sz w:val="24"/>
          <w:szCs w:val="24"/>
        </w:rPr>
        <w:t>G</w:t>
      </w:r>
      <w:r w:rsidR="00782AB3" w:rsidRPr="004954F4">
        <w:rPr>
          <w:rFonts w:ascii="Trebuchet MS" w:hAnsi="Trebuchet MS"/>
          <w:sz w:val="24"/>
          <w:szCs w:val="24"/>
        </w:rPr>
        <w:t xml:space="preserve">uidance </w:t>
      </w:r>
      <w:r w:rsidR="00C12F42" w:rsidRPr="004954F4">
        <w:rPr>
          <w:rFonts w:ascii="Trebuchet MS" w:hAnsi="Trebuchet MS"/>
          <w:sz w:val="24"/>
          <w:szCs w:val="24"/>
        </w:rPr>
        <w:t>s</w:t>
      </w:r>
      <w:r w:rsidR="00782AB3" w:rsidRPr="004954F4">
        <w:rPr>
          <w:rFonts w:ascii="Trebuchet MS" w:hAnsi="Trebuchet MS"/>
          <w:sz w:val="24"/>
          <w:szCs w:val="24"/>
        </w:rPr>
        <w:t>tates</w:t>
      </w:r>
      <w:r w:rsidR="00FF0E9B" w:rsidRPr="004954F4">
        <w:rPr>
          <w:rFonts w:ascii="Trebuchet MS" w:hAnsi="Trebuchet MS"/>
          <w:sz w:val="24"/>
          <w:szCs w:val="24"/>
        </w:rPr>
        <w:t xml:space="preserve"> that</w:t>
      </w:r>
      <w:r w:rsidR="00782AB3" w:rsidRPr="004954F4">
        <w:rPr>
          <w:rFonts w:ascii="Trebuchet MS" w:hAnsi="Trebuchet MS"/>
          <w:sz w:val="24"/>
          <w:szCs w:val="24"/>
        </w:rPr>
        <w:t xml:space="preserve"> Safeguarding is not a substitute for:</w:t>
      </w:r>
    </w:p>
    <w:p w14:paraId="2AE88C6F" w14:textId="77777777" w:rsidR="004954F4" w:rsidRPr="004954F4" w:rsidRDefault="004954F4" w:rsidP="004954F4">
      <w:pPr>
        <w:pStyle w:val="NoSpacing"/>
        <w:rPr>
          <w:rFonts w:ascii="Trebuchet MS" w:hAnsi="Trebuchet MS"/>
          <w:sz w:val="24"/>
          <w:szCs w:val="24"/>
        </w:rPr>
      </w:pPr>
    </w:p>
    <w:p w14:paraId="6E340CDD" w14:textId="7FD9E159" w:rsidR="00782AB3" w:rsidRPr="00D82928" w:rsidRDefault="00782AB3" w:rsidP="004954F4">
      <w:pPr>
        <w:pStyle w:val="ListParagraph"/>
        <w:widowControl w:val="0"/>
        <w:numPr>
          <w:ilvl w:val="2"/>
          <w:numId w:val="20"/>
        </w:numPr>
        <w:tabs>
          <w:tab w:val="left" w:pos="1481"/>
        </w:tabs>
        <w:autoSpaceDE w:val="0"/>
        <w:autoSpaceDN w:val="0"/>
        <w:spacing w:after="0" w:line="289" w:lineRule="exact"/>
        <w:rPr>
          <w:rFonts w:ascii="Trebuchet MS" w:hAnsi="Trebuchet MS"/>
          <w:sz w:val="24"/>
          <w:szCs w:val="24"/>
        </w:rPr>
      </w:pPr>
      <w:r w:rsidRPr="00D82928">
        <w:rPr>
          <w:rFonts w:ascii="Trebuchet MS" w:hAnsi="Trebuchet MS"/>
          <w:sz w:val="24"/>
          <w:szCs w:val="24"/>
        </w:rPr>
        <w:t xml:space="preserve">Providers’ responsibilities to provide safe and </w:t>
      </w:r>
      <w:r w:rsidR="00D2593C" w:rsidRPr="00D82928">
        <w:rPr>
          <w:rFonts w:ascii="Trebuchet MS" w:hAnsi="Trebuchet MS"/>
          <w:sz w:val="24"/>
          <w:szCs w:val="24"/>
        </w:rPr>
        <w:t>high-quality</w:t>
      </w:r>
      <w:r w:rsidRPr="00D82928">
        <w:rPr>
          <w:rFonts w:ascii="Trebuchet MS" w:hAnsi="Trebuchet MS"/>
          <w:sz w:val="24"/>
          <w:szCs w:val="24"/>
        </w:rPr>
        <w:t xml:space="preserve"> care and</w:t>
      </w:r>
      <w:r w:rsidRPr="00D82928">
        <w:rPr>
          <w:rFonts w:ascii="Trebuchet MS" w:hAnsi="Trebuchet MS"/>
          <w:spacing w:val="-14"/>
          <w:sz w:val="24"/>
          <w:szCs w:val="24"/>
        </w:rPr>
        <w:t xml:space="preserve"> </w:t>
      </w:r>
      <w:r w:rsidRPr="00D82928">
        <w:rPr>
          <w:rFonts w:ascii="Trebuchet MS" w:hAnsi="Trebuchet MS"/>
          <w:sz w:val="24"/>
          <w:szCs w:val="24"/>
        </w:rPr>
        <w:t>support.</w:t>
      </w:r>
    </w:p>
    <w:p w14:paraId="5DDE7252" w14:textId="585D31BE" w:rsidR="00782AB3" w:rsidRPr="00D82928" w:rsidRDefault="00782AB3" w:rsidP="004954F4">
      <w:pPr>
        <w:pStyle w:val="ListParagraph"/>
        <w:widowControl w:val="0"/>
        <w:numPr>
          <w:ilvl w:val="2"/>
          <w:numId w:val="20"/>
        </w:numPr>
        <w:tabs>
          <w:tab w:val="left" w:pos="1481"/>
        </w:tabs>
        <w:autoSpaceDE w:val="0"/>
        <w:autoSpaceDN w:val="0"/>
        <w:spacing w:after="0" w:line="240" w:lineRule="auto"/>
        <w:ind w:right="837"/>
        <w:rPr>
          <w:rFonts w:ascii="Trebuchet MS" w:hAnsi="Trebuchet MS"/>
          <w:sz w:val="24"/>
          <w:szCs w:val="24"/>
        </w:rPr>
      </w:pPr>
      <w:r w:rsidRPr="00D82928">
        <w:rPr>
          <w:rFonts w:ascii="Trebuchet MS" w:hAnsi="Trebuchet MS"/>
          <w:sz w:val="24"/>
          <w:szCs w:val="24"/>
        </w:rPr>
        <w:t>Commissioners regularly assuring themselves of the safety and effectiveness of commissioned</w:t>
      </w:r>
      <w:r w:rsidRPr="00D82928">
        <w:rPr>
          <w:rFonts w:ascii="Trebuchet MS" w:hAnsi="Trebuchet MS"/>
          <w:spacing w:val="-1"/>
          <w:sz w:val="24"/>
          <w:szCs w:val="24"/>
        </w:rPr>
        <w:t xml:space="preserve"> </w:t>
      </w:r>
      <w:r w:rsidRPr="00D82928">
        <w:rPr>
          <w:rFonts w:ascii="Trebuchet MS" w:hAnsi="Trebuchet MS"/>
          <w:sz w:val="24"/>
          <w:szCs w:val="24"/>
        </w:rPr>
        <w:t>services.</w:t>
      </w:r>
    </w:p>
    <w:p w14:paraId="39D48D54" w14:textId="3845366D" w:rsidR="00782AB3" w:rsidRDefault="00782AB3" w:rsidP="004954F4">
      <w:pPr>
        <w:pStyle w:val="ListParagraph"/>
        <w:widowControl w:val="0"/>
        <w:numPr>
          <w:ilvl w:val="2"/>
          <w:numId w:val="20"/>
        </w:numPr>
        <w:tabs>
          <w:tab w:val="left" w:pos="1481"/>
        </w:tabs>
        <w:autoSpaceDE w:val="0"/>
        <w:autoSpaceDN w:val="0"/>
        <w:spacing w:after="0" w:line="240" w:lineRule="auto"/>
        <w:ind w:right="509"/>
        <w:rPr>
          <w:rFonts w:ascii="Trebuchet MS" w:hAnsi="Trebuchet MS"/>
          <w:sz w:val="24"/>
          <w:szCs w:val="24"/>
        </w:rPr>
      </w:pPr>
      <w:r w:rsidRPr="00D2593C">
        <w:rPr>
          <w:rFonts w:ascii="Trebuchet MS" w:hAnsi="Trebuchet MS"/>
          <w:sz w:val="24"/>
          <w:szCs w:val="24"/>
        </w:rPr>
        <w:t>The Care Quality Commission (CQC) ensuring that regulated providers comply with the fundamental standards of care or by taking enforcement</w:t>
      </w:r>
      <w:r w:rsidRPr="00D2593C">
        <w:rPr>
          <w:rFonts w:ascii="Trebuchet MS" w:hAnsi="Trebuchet MS"/>
          <w:spacing w:val="-14"/>
          <w:sz w:val="24"/>
          <w:szCs w:val="24"/>
        </w:rPr>
        <w:t xml:space="preserve"> </w:t>
      </w:r>
      <w:r w:rsidRPr="00D2593C">
        <w:rPr>
          <w:rFonts w:ascii="Trebuchet MS" w:hAnsi="Trebuchet MS"/>
          <w:sz w:val="24"/>
          <w:szCs w:val="24"/>
        </w:rPr>
        <w:t>action.</w:t>
      </w:r>
    </w:p>
    <w:p w14:paraId="2A3EABAE" w14:textId="6AF7480B" w:rsidR="00782AB3" w:rsidRPr="00461267" w:rsidRDefault="00461267" w:rsidP="00461267">
      <w:pPr>
        <w:pStyle w:val="ListParagraph"/>
        <w:widowControl w:val="0"/>
        <w:numPr>
          <w:ilvl w:val="1"/>
          <w:numId w:val="22"/>
        </w:numPr>
        <w:tabs>
          <w:tab w:val="left" w:pos="1481"/>
        </w:tabs>
        <w:autoSpaceDE w:val="0"/>
        <w:autoSpaceDN w:val="0"/>
        <w:spacing w:after="0" w:line="240" w:lineRule="auto"/>
        <w:ind w:right="1028"/>
        <w:rPr>
          <w:rFonts w:ascii="Trebuchet MS" w:hAnsi="Trebuchet MS"/>
          <w:sz w:val="24"/>
          <w:szCs w:val="24"/>
        </w:rPr>
      </w:pPr>
      <w:r w:rsidRPr="00461267">
        <w:rPr>
          <w:rFonts w:ascii="Trebuchet MS" w:hAnsi="Trebuchet MS"/>
          <w:sz w:val="24"/>
          <w:szCs w:val="24"/>
        </w:rPr>
        <w:t>T</w:t>
      </w:r>
      <w:r w:rsidR="00782AB3" w:rsidRPr="00461267">
        <w:rPr>
          <w:rFonts w:ascii="Trebuchet MS" w:hAnsi="Trebuchet MS"/>
          <w:sz w:val="24"/>
          <w:szCs w:val="24"/>
        </w:rPr>
        <w:t xml:space="preserve">he core duties of the police to prevent and detect crime and </w:t>
      </w:r>
      <w:r w:rsidRPr="00461267">
        <w:rPr>
          <w:rFonts w:ascii="Trebuchet MS" w:hAnsi="Trebuchet MS"/>
          <w:sz w:val="24"/>
          <w:szCs w:val="24"/>
        </w:rPr>
        <w:t xml:space="preserve">          </w:t>
      </w:r>
      <w:r w:rsidR="00782AB3" w:rsidRPr="00461267">
        <w:rPr>
          <w:rFonts w:ascii="Trebuchet MS" w:hAnsi="Trebuchet MS"/>
          <w:sz w:val="24"/>
          <w:szCs w:val="24"/>
        </w:rPr>
        <w:t>protect life and property.</w:t>
      </w:r>
    </w:p>
    <w:p w14:paraId="414CF5B9" w14:textId="77777777" w:rsidR="00782AB3" w:rsidRPr="00D2593C" w:rsidRDefault="00782AB3" w:rsidP="00782AB3">
      <w:pPr>
        <w:pStyle w:val="NoSpacing"/>
        <w:rPr>
          <w:rFonts w:ascii="Trebuchet MS" w:hAnsi="Trebuchet MS"/>
          <w:sz w:val="24"/>
          <w:szCs w:val="24"/>
        </w:rPr>
      </w:pPr>
    </w:p>
    <w:p w14:paraId="407B86EF" w14:textId="77424187" w:rsidR="00782AB3" w:rsidRPr="00D2593C" w:rsidRDefault="00461267" w:rsidP="00461267">
      <w:pPr>
        <w:pStyle w:val="NoSpacing"/>
        <w:numPr>
          <w:ilvl w:val="1"/>
          <w:numId w:val="19"/>
        </w:numPr>
        <w:rPr>
          <w:rFonts w:ascii="Trebuchet MS" w:hAnsi="Trebuchet MS"/>
          <w:sz w:val="24"/>
          <w:szCs w:val="24"/>
        </w:rPr>
      </w:pPr>
      <w:r>
        <w:rPr>
          <w:rFonts w:ascii="Trebuchet MS" w:hAnsi="Trebuchet MS"/>
          <w:sz w:val="24"/>
          <w:szCs w:val="24"/>
        </w:rPr>
        <w:t xml:space="preserve">  </w:t>
      </w:r>
      <w:r w:rsidR="00782AB3" w:rsidRPr="00D2593C">
        <w:rPr>
          <w:rFonts w:ascii="Trebuchet MS" w:hAnsi="Trebuchet MS"/>
          <w:sz w:val="24"/>
          <w:szCs w:val="24"/>
        </w:rPr>
        <w:t xml:space="preserve">Therefore, careful consideration should be given to distinguish clearly </w:t>
      </w:r>
      <w:r>
        <w:rPr>
          <w:rFonts w:ascii="Trebuchet MS" w:hAnsi="Trebuchet MS"/>
          <w:sz w:val="24"/>
          <w:szCs w:val="24"/>
        </w:rPr>
        <w:t xml:space="preserve">     </w:t>
      </w:r>
      <w:r w:rsidR="00782AB3" w:rsidRPr="00D2593C">
        <w:rPr>
          <w:rFonts w:ascii="Trebuchet MS" w:hAnsi="Trebuchet MS"/>
          <w:sz w:val="24"/>
          <w:szCs w:val="24"/>
        </w:rPr>
        <w:t>between:</w:t>
      </w:r>
    </w:p>
    <w:p w14:paraId="5DF458A9" w14:textId="669E867E" w:rsidR="00782AB3" w:rsidRPr="00461267" w:rsidRDefault="00782AB3" w:rsidP="00461267">
      <w:pPr>
        <w:pStyle w:val="ListParagraph"/>
        <w:widowControl w:val="0"/>
        <w:numPr>
          <w:ilvl w:val="0"/>
          <w:numId w:val="24"/>
        </w:numPr>
        <w:tabs>
          <w:tab w:val="left" w:pos="1481"/>
        </w:tabs>
        <w:autoSpaceDE w:val="0"/>
        <w:autoSpaceDN w:val="0"/>
        <w:spacing w:before="201" w:after="0" w:line="240" w:lineRule="auto"/>
        <w:rPr>
          <w:rFonts w:ascii="Trebuchet MS" w:hAnsi="Trebuchet MS"/>
          <w:sz w:val="24"/>
          <w:szCs w:val="24"/>
        </w:rPr>
      </w:pPr>
      <w:r w:rsidRPr="00461267">
        <w:rPr>
          <w:rFonts w:ascii="Trebuchet MS" w:hAnsi="Trebuchet MS"/>
          <w:sz w:val="24"/>
          <w:szCs w:val="24"/>
        </w:rPr>
        <w:t>A complaint about a professional or</w:t>
      </w:r>
      <w:r w:rsidRPr="00461267">
        <w:rPr>
          <w:rFonts w:ascii="Trebuchet MS" w:hAnsi="Trebuchet MS"/>
          <w:spacing w:val="-3"/>
          <w:sz w:val="24"/>
          <w:szCs w:val="24"/>
        </w:rPr>
        <w:t xml:space="preserve"> </w:t>
      </w:r>
      <w:r w:rsidRPr="00461267">
        <w:rPr>
          <w:rFonts w:ascii="Trebuchet MS" w:hAnsi="Trebuchet MS"/>
          <w:sz w:val="24"/>
          <w:szCs w:val="24"/>
        </w:rPr>
        <w:t>volunteer.</w:t>
      </w:r>
    </w:p>
    <w:p w14:paraId="01FA436F" w14:textId="43D8C92F" w:rsidR="00782AB3" w:rsidRPr="004954F4" w:rsidRDefault="00782AB3" w:rsidP="00461267">
      <w:pPr>
        <w:pStyle w:val="ListParagraph"/>
        <w:widowControl w:val="0"/>
        <w:numPr>
          <w:ilvl w:val="0"/>
          <w:numId w:val="24"/>
        </w:numPr>
        <w:tabs>
          <w:tab w:val="left" w:pos="1481"/>
        </w:tabs>
        <w:autoSpaceDE w:val="0"/>
        <w:autoSpaceDN w:val="0"/>
        <w:spacing w:after="0" w:line="240" w:lineRule="auto"/>
        <w:ind w:right="350"/>
        <w:rPr>
          <w:rFonts w:ascii="Trebuchet MS" w:hAnsi="Trebuchet MS"/>
          <w:sz w:val="24"/>
          <w:szCs w:val="24"/>
        </w:rPr>
      </w:pPr>
      <w:r w:rsidRPr="004954F4">
        <w:rPr>
          <w:rFonts w:ascii="Trebuchet MS" w:hAnsi="Trebuchet MS"/>
          <w:sz w:val="24"/>
          <w:szCs w:val="24"/>
        </w:rPr>
        <w:t>Concerns raised about the quality of practice provided by the person in a position of trust, that do not meet the criteria for a safeguarding</w:t>
      </w:r>
      <w:r w:rsidRPr="004954F4">
        <w:rPr>
          <w:rFonts w:ascii="Trebuchet MS" w:hAnsi="Trebuchet MS"/>
          <w:spacing w:val="-10"/>
          <w:sz w:val="24"/>
          <w:szCs w:val="24"/>
        </w:rPr>
        <w:t xml:space="preserve"> </w:t>
      </w:r>
      <w:r w:rsidRPr="004954F4">
        <w:rPr>
          <w:rFonts w:ascii="Trebuchet MS" w:hAnsi="Trebuchet MS"/>
          <w:sz w:val="24"/>
          <w:szCs w:val="24"/>
        </w:rPr>
        <w:t>enquiry.</w:t>
      </w:r>
    </w:p>
    <w:p w14:paraId="78F9AC59" w14:textId="3C70F591" w:rsidR="00782AB3" w:rsidRDefault="00461267" w:rsidP="004954F4">
      <w:pPr>
        <w:pStyle w:val="BodyText"/>
        <w:numPr>
          <w:ilvl w:val="1"/>
          <w:numId w:val="19"/>
        </w:numPr>
        <w:spacing w:before="199"/>
        <w:ind w:right="617"/>
        <w:rPr>
          <w:rFonts w:ascii="Trebuchet MS" w:hAnsi="Trebuchet MS"/>
        </w:rPr>
      </w:pPr>
      <w:r>
        <w:rPr>
          <w:rFonts w:ascii="Trebuchet MS" w:hAnsi="Trebuchet MS"/>
        </w:rPr>
        <w:t xml:space="preserve">  </w:t>
      </w:r>
      <w:r w:rsidR="00782AB3" w:rsidRPr="00D2593C">
        <w:rPr>
          <w:rFonts w:ascii="Trebuchet MS" w:hAnsi="Trebuchet MS"/>
        </w:rPr>
        <w:t>Other relevant bodies and their procedures should be used to recognise, respond to and resolve these issues.</w:t>
      </w:r>
    </w:p>
    <w:p w14:paraId="025647DD" w14:textId="6BD50662" w:rsidR="004C75F0" w:rsidRDefault="00D67396" w:rsidP="004954F4">
      <w:pPr>
        <w:pStyle w:val="BodyText"/>
        <w:numPr>
          <w:ilvl w:val="0"/>
          <w:numId w:val="19"/>
        </w:numPr>
        <w:spacing w:before="199"/>
        <w:ind w:right="617"/>
        <w:rPr>
          <w:rFonts w:ascii="Trebuchet MS" w:hAnsi="Trebuchet MS"/>
          <w:b/>
        </w:rPr>
      </w:pPr>
      <w:r w:rsidRPr="00F67B88">
        <w:rPr>
          <w:rFonts w:ascii="Trebuchet MS" w:hAnsi="Trebuchet MS"/>
          <w:b/>
          <w:sz w:val="28"/>
          <w:szCs w:val="28"/>
        </w:rPr>
        <w:t>References</w:t>
      </w:r>
      <w:r w:rsidR="00461267">
        <w:rPr>
          <w:rFonts w:ascii="Trebuchet MS" w:hAnsi="Trebuchet MS"/>
          <w:b/>
          <w:sz w:val="28"/>
          <w:szCs w:val="28"/>
        </w:rPr>
        <w:t xml:space="preserve"> and sources of additional guidance</w:t>
      </w:r>
      <w:r w:rsidRPr="00917197">
        <w:rPr>
          <w:rFonts w:ascii="Trebuchet MS" w:hAnsi="Trebuchet MS"/>
          <w:b/>
        </w:rPr>
        <w:t>:</w:t>
      </w:r>
    </w:p>
    <w:p w14:paraId="460ADFFA" w14:textId="5010686D" w:rsidR="000840A1" w:rsidRDefault="00000000" w:rsidP="00336A26">
      <w:pPr>
        <w:pStyle w:val="BodyText"/>
        <w:spacing w:before="199"/>
        <w:ind w:right="617"/>
        <w:rPr>
          <w:rFonts w:ascii="Trebuchet MS" w:hAnsi="Trebuchet MS"/>
        </w:rPr>
      </w:pPr>
      <w:hyperlink r:id="rId13" w:anchor="safeguarding-1" w:history="1">
        <w:r w:rsidR="000840A1">
          <w:rPr>
            <w:rStyle w:val="Hyperlink"/>
            <w:rFonts w:ascii="Trebuchet MS" w:hAnsi="Trebuchet MS"/>
          </w:rPr>
          <w:t>T</w:t>
        </w:r>
        <w:r w:rsidR="000840A1" w:rsidRPr="00C555AA">
          <w:rPr>
            <w:rStyle w:val="Hyperlink"/>
            <w:rFonts w:ascii="Trebuchet MS" w:hAnsi="Trebuchet MS"/>
          </w:rPr>
          <w:t>he Care and Support Statutory Guidance around the Care Act (2014)</w:t>
        </w:r>
      </w:hyperlink>
      <w:r w:rsidR="000840A1">
        <w:rPr>
          <w:rStyle w:val="Hyperlink"/>
          <w:rFonts w:ascii="Trebuchet MS" w:hAnsi="Trebuchet MS"/>
        </w:rPr>
        <w:t xml:space="preserve"> – updated 2018. </w:t>
      </w:r>
    </w:p>
    <w:p w14:paraId="3E66A00F" w14:textId="7593E6D1" w:rsidR="00BB6871" w:rsidRDefault="00000000" w:rsidP="00336A26">
      <w:pPr>
        <w:pStyle w:val="BodyText"/>
        <w:spacing w:before="199"/>
        <w:ind w:right="617"/>
        <w:rPr>
          <w:rFonts w:ascii="Trebuchet MS" w:hAnsi="Trebuchet MS"/>
        </w:rPr>
      </w:pPr>
      <w:hyperlink r:id="rId14" w:history="1">
        <w:r w:rsidR="00BB6871" w:rsidRPr="000840A1">
          <w:rPr>
            <w:rStyle w:val="Hyperlink"/>
            <w:rFonts w:ascii="Trebuchet MS" w:hAnsi="Trebuchet MS"/>
          </w:rPr>
          <w:t xml:space="preserve">HM Government: </w:t>
        </w:r>
        <w:r w:rsidR="00326C06" w:rsidRPr="000840A1">
          <w:rPr>
            <w:rStyle w:val="Hyperlink"/>
            <w:rFonts w:ascii="Trebuchet MS" w:hAnsi="Trebuchet MS"/>
          </w:rPr>
          <w:t>I</w:t>
        </w:r>
        <w:r w:rsidR="00BB6871" w:rsidRPr="000840A1">
          <w:rPr>
            <w:rStyle w:val="Hyperlink"/>
            <w:rFonts w:ascii="Trebuchet MS" w:hAnsi="Trebuchet MS"/>
          </w:rPr>
          <w:t>nformation sharing</w:t>
        </w:r>
        <w:r w:rsidR="001A0D4E" w:rsidRPr="000840A1">
          <w:rPr>
            <w:rStyle w:val="Hyperlink"/>
            <w:rFonts w:ascii="Trebuchet MS" w:hAnsi="Trebuchet MS"/>
          </w:rPr>
          <w:t xml:space="preserve">; guidance for </w:t>
        </w:r>
        <w:r w:rsidR="00D67396" w:rsidRPr="000840A1">
          <w:rPr>
            <w:rStyle w:val="Hyperlink"/>
            <w:rFonts w:ascii="Trebuchet MS" w:hAnsi="Trebuchet MS"/>
          </w:rPr>
          <w:t>practitioners and</w:t>
        </w:r>
        <w:r w:rsidR="001A0D4E" w:rsidRPr="000840A1">
          <w:rPr>
            <w:rStyle w:val="Hyperlink"/>
            <w:rFonts w:ascii="Trebuchet MS" w:hAnsi="Trebuchet MS"/>
          </w:rPr>
          <w:t xml:space="preserve"> managers </w:t>
        </w:r>
        <w:r w:rsidR="000840A1" w:rsidRPr="000840A1">
          <w:rPr>
            <w:rStyle w:val="Hyperlink"/>
            <w:rFonts w:ascii="Trebuchet MS" w:hAnsi="Trebuchet MS"/>
          </w:rPr>
          <w:t>(2018)</w:t>
        </w:r>
      </w:hyperlink>
    </w:p>
    <w:p w14:paraId="166A72B2" w14:textId="6A9142D9" w:rsidR="00336A26" w:rsidRPr="008B14D9" w:rsidRDefault="008B14D9" w:rsidP="006F1591">
      <w:pPr>
        <w:pStyle w:val="BodyText"/>
        <w:spacing w:before="199"/>
        <w:ind w:right="617"/>
        <w:rPr>
          <w:rStyle w:val="Hyperlink"/>
          <w:rFonts w:ascii="Trebuchet MS" w:hAnsi="Trebuchet MS"/>
        </w:rPr>
      </w:pPr>
      <w:r>
        <w:rPr>
          <w:rFonts w:ascii="Trebuchet MS" w:hAnsi="Trebuchet MS"/>
        </w:rPr>
        <w:fldChar w:fldCharType="begin"/>
      </w:r>
      <w:r>
        <w:rPr>
          <w:rFonts w:ascii="Trebuchet MS" w:hAnsi="Trebuchet MS"/>
        </w:rPr>
        <w:instrText>HYPERLINK "https://www.bromley.gov.uk/download/downloads/id/5130/framework_and_toolkit_for_managing_allegations_and_concerns_around_people_in_positions_of_trust_who_work_with_adults_who_have_care_and_support_needs.pdf"</w:instrText>
      </w:r>
      <w:r>
        <w:rPr>
          <w:rFonts w:ascii="Trebuchet MS" w:hAnsi="Trebuchet MS"/>
        </w:rPr>
        <w:fldChar w:fldCharType="separate"/>
      </w:r>
      <w:r w:rsidR="004C75F0" w:rsidRPr="008B14D9">
        <w:rPr>
          <w:rStyle w:val="Hyperlink"/>
          <w:rFonts w:ascii="Trebuchet MS" w:hAnsi="Trebuchet MS"/>
        </w:rPr>
        <w:t>The</w:t>
      </w:r>
      <w:r w:rsidR="006F1591" w:rsidRPr="008B14D9">
        <w:rPr>
          <w:rStyle w:val="Hyperlink"/>
          <w:rFonts w:ascii="Trebuchet MS" w:hAnsi="Trebuchet MS"/>
        </w:rPr>
        <w:t xml:space="preserve"> Bro</w:t>
      </w:r>
      <w:r w:rsidR="00D67396" w:rsidRPr="008B14D9">
        <w:rPr>
          <w:rStyle w:val="Hyperlink"/>
          <w:rFonts w:ascii="Trebuchet MS" w:hAnsi="Trebuchet MS"/>
        </w:rPr>
        <w:t>m</w:t>
      </w:r>
      <w:r w:rsidR="00BD1410" w:rsidRPr="008B14D9">
        <w:rPr>
          <w:rStyle w:val="Hyperlink"/>
          <w:rFonts w:ascii="Trebuchet MS" w:hAnsi="Trebuchet MS"/>
        </w:rPr>
        <w:t xml:space="preserve">ley </w:t>
      </w:r>
      <w:r w:rsidR="004C75F0" w:rsidRPr="008B14D9">
        <w:rPr>
          <w:rStyle w:val="Hyperlink"/>
          <w:rFonts w:ascii="Trebuchet MS" w:hAnsi="Trebuchet MS"/>
        </w:rPr>
        <w:t>S</w:t>
      </w:r>
      <w:r w:rsidR="00BD1410" w:rsidRPr="008B14D9">
        <w:rPr>
          <w:rStyle w:val="Hyperlink"/>
          <w:rFonts w:ascii="Trebuchet MS" w:hAnsi="Trebuchet MS"/>
        </w:rPr>
        <w:t xml:space="preserve">afeguarding </w:t>
      </w:r>
      <w:r w:rsidR="00D67396" w:rsidRPr="008B14D9">
        <w:rPr>
          <w:rStyle w:val="Hyperlink"/>
          <w:rFonts w:ascii="Trebuchet MS" w:hAnsi="Trebuchet MS"/>
        </w:rPr>
        <w:t>A</w:t>
      </w:r>
      <w:r w:rsidR="00BD1410" w:rsidRPr="008B14D9">
        <w:rPr>
          <w:rStyle w:val="Hyperlink"/>
          <w:rFonts w:ascii="Trebuchet MS" w:hAnsi="Trebuchet MS"/>
        </w:rPr>
        <w:t xml:space="preserve">dult </w:t>
      </w:r>
      <w:r w:rsidR="00354076" w:rsidRPr="008B14D9">
        <w:rPr>
          <w:rStyle w:val="Hyperlink"/>
          <w:rFonts w:ascii="Trebuchet MS" w:hAnsi="Trebuchet MS"/>
        </w:rPr>
        <w:t>Board Framework</w:t>
      </w:r>
      <w:r w:rsidR="00BD1410" w:rsidRPr="008B14D9">
        <w:rPr>
          <w:rStyle w:val="Hyperlink"/>
          <w:rFonts w:ascii="Trebuchet MS" w:hAnsi="Trebuchet MS"/>
        </w:rPr>
        <w:t xml:space="preserve"> and </w:t>
      </w:r>
      <w:r w:rsidR="00D67396" w:rsidRPr="008B14D9">
        <w:rPr>
          <w:rStyle w:val="Hyperlink"/>
          <w:rFonts w:ascii="Trebuchet MS" w:hAnsi="Trebuchet MS"/>
        </w:rPr>
        <w:t>T</w:t>
      </w:r>
      <w:r w:rsidR="00BD1410" w:rsidRPr="008B14D9">
        <w:rPr>
          <w:rStyle w:val="Hyperlink"/>
          <w:rFonts w:ascii="Trebuchet MS" w:hAnsi="Trebuchet MS"/>
        </w:rPr>
        <w:t xml:space="preserve">oolkit for </w:t>
      </w:r>
      <w:r w:rsidR="00D67396" w:rsidRPr="008B14D9">
        <w:rPr>
          <w:rStyle w:val="Hyperlink"/>
          <w:rFonts w:ascii="Trebuchet MS" w:hAnsi="Trebuchet MS"/>
        </w:rPr>
        <w:t>M</w:t>
      </w:r>
      <w:r w:rsidR="00BD1410" w:rsidRPr="008B14D9">
        <w:rPr>
          <w:rStyle w:val="Hyperlink"/>
          <w:rFonts w:ascii="Trebuchet MS" w:hAnsi="Trebuchet MS"/>
        </w:rPr>
        <w:t xml:space="preserve">anaging allegations and Concerns around People in </w:t>
      </w:r>
      <w:r w:rsidR="004135B8" w:rsidRPr="008B14D9">
        <w:rPr>
          <w:rStyle w:val="Hyperlink"/>
          <w:rFonts w:ascii="Trebuchet MS" w:hAnsi="Trebuchet MS"/>
        </w:rPr>
        <w:t>Positions of</w:t>
      </w:r>
      <w:r w:rsidR="00D67396" w:rsidRPr="008B14D9">
        <w:rPr>
          <w:rStyle w:val="Hyperlink"/>
          <w:rFonts w:ascii="Trebuchet MS" w:hAnsi="Trebuchet MS"/>
        </w:rPr>
        <w:t xml:space="preserve"> Trust who work with Adults who have care and support Needs </w:t>
      </w:r>
      <w:r w:rsidR="00917197" w:rsidRPr="008B14D9">
        <w:rPr>
          <w:rStyle w:val="Hyperlink"/>
          <w:rFonts w:ascii="Trebuchet MS" w:hAnsi="Trebuchet MS"/>
        </w:rPr>
        <w:t>(2018)</w:t>
      </w:r>
    </w:p>
    <w:p w14:paraId="4EA67F48" w14:textId="76645697" w:rsidR="00782AB3" w:rsidRPr="00D2593C" w:rsidRDefault="008B14D9" w:rsidP="007249A3">
      <w:pPr>
        <w:pStyle w:val="NoSpacing"/>
        <w:rPr>
          <w:rFonts w:ascii="Trebuchet MS" w:hAnsi="Trebuchet MS"/>
          <w:b/>
          <w:sz w:val="24"/>
          <w:szCs w:val="24"/>
        </w:rPr>
      </w:pPr>
      <w:r>
        <w:rPr>
          <w:rFonts w:ascii="Trebuchet MS" w:eastAsia="Calibri" w:hAnsi="Trebuchet MS" w:cs="Calibri"/>
          <w:sz w:val="24"/>
          <w:szCs w:val="24"/>
          <w:lang w:val="en-GB" w:eastAsia="en-GB" w:bidi="en-GB"/>
        </w:rPr>
        <w:fldChar w:fldCharType="end"/>
      </w:r>
    </w:p>
    <w:bookmarkStart w:id="3" w:name="_Hlk22047833"/>
    <w:p w14:paraId="61A44465" w14:textId="367245E3" w:rsidR="007249A3" w:rsidRPr="00B70047" w:rsidRDefault="000840A1" w:rsidP="00C50491">
      <w:pPr>
        <w:pStyle w:val="NoSpacing"/>
        <w:rPr>
          <w:rFonts w:ascii="Trebuchet MS" w:hAnsi="Trebuchet MS"/>
          <w:sz w:val="24"/>
          <w:szCs w:val="24"/>
        </w:rPr>
      </w:pPr>
      <w:r w:rsidRPr="00B70047">
        <w:rPr>
          <w:rStyle w:val="Hyperlink"/>
          <w:rFonts w:ascii="Trebuchet MS" w:hAnsi="Trebuchet MS"/>
          <w:sz w:val="24"/>
          <w:szCs w:val="24"/>
        </w:rPr>
        <w:fldChar w:fldCharType="begin"/>
      </w:r>
      <w:r w:rsidRPr="00B70047">
        <w:rPr>
          <w:rStyle w:val="Hyperlink"/>
          <w:rFonts w:ascii="Trebuchet MS" w:hAnsi="Trebuchet MS"/>
          <w:sz w:val="24"/>
          <w:szCs w:val="24"/>
        </w:rPr>
        <w:instrText xml:space="preserve"> HYPERLINK "https://www.scie.org.uk/safeguarding/adults/practice/sharing-information" \l "goldenrules" </w:instrText>
      </w:r>
      <w:r w:rsidRPr="00B70047">
        <w:rPr>
          <w:rStyle w:val="Hyperlink"/>
          <w:rFonts w:ascii="Trebuchet MS" w:hAnsi="Trebuchet MS"/>
          <w:sz w:val="24"/>
          <w:szCs w:val="24"/>
        </w:rPr>
        <w:fldChar w:fldCharType="separate"/>
      </w:r>
      <w:r w:rsidR="00DD5F88" w:rsidRPr="00B70047">
        <w:rPr>
          <w:rStyle w:val="Hyperlink"/>
          <w:rFonts w:ascii="Trebuchet MS" w:hAnsi="Trebuchet MS"/>
          <w:sz w:val="24"/>
          <w:szCs w:val="24"/>
        </w:rPr>
        <w:t>Social Care Institute for Excellence (2019) Safeguarding Adults: Sharing Information – Seven Golden Rules.</w:t>
      </w:r>
      <w:r w:rsidRPr="00B70047">
        <w:rPr>
          <w:rStyle w:val="Hyperlink"/>
          <w:rFonts w:ascii="Trebuchet MS" w:hAnsi="Trebuchet MS"/>
          <w:sz w:val="24"/>
          <w:szCs w:val="24"/>
        </w:rPr>
        <w:fldChar w:fldCharType="end"/>
      </w:r>
      <w:r w:rsidR="00DD5F88" w:rsidRPr="00B70047">
        <w:rPr>
          <w:rFonts w:ascii="Trebuchet MS" w:hAnsi="Trebuchet MS"/>
          <w:sz w:val="24"/>
          <w:szCs w:val="24"/>
        </w:rPr>
        <w:t xml:space="preserve"> </w:t>
      </w:r>
    </w:p>
    <w:p w14:paraId="58EFED6E" w14:textId="008A0728" w:rsidR="00CC2AA5" w:rsidRDefault="00CC2AA5" w:rsidP="00C50491">
      <w:pPr>
        <w:pStyle w:val="NoSpacing"/>
        <w:rPr>
          <w:rFonts w:ascii="Trebuchet MS" w:hAnsi="Trebuchet MS"/>
        </w:rPr>
      </w:pPr>
    </w:p>
    <w:p w14:paraId="4A413F8E" w14:textId="139D6FC0" w:rsidR="00CC2AA5" w:rsidRDefault="00CC2AA5" w:rsidP="00C50491">
      <w:pPr>
        <w:pStyle w:val="NoSpacing"/>
        <w:rPr>
          <w:rFonts w:ascii="Trebuchet MS" w:hAnsi="Trebuchet MS"/>
        </w:rPr>
      </w:pPr>
    </w:p>
    <w:p w14:paraId="19D4CF27" w14:textId="42893EDC" w:rsidR="00CC2AA5" w:rsidRDefault="00CC2AA5" w:rsidP="00C50491">
      <w:pPr>
        <w:pStyle w:val="NoSpacing"/>
        <w:rPr>
          <w:rFonts w:ascii="Trebuchet MS" w:hAnsi="Trebuchet MS"/>
        </w:rPr>
      </w:pPr>
    </w:p>
    <w:p w14:paraId="263D4691" w14:textId="0F9C2EEF" w:rsidR="00CC2AA5" w:rsidRDefault="00CC2AA5" w:rsidP="00C50491">
      <w:pPr>
        <w:pStyle w:val="NoSpacing"/>
        <w:rPr>
          <w:rFonts w:ascii="Trebuchet MS" w:hAnsi="Trebuchet MS"/>
        </w:rPr>
      </w:pPr>
    </w:p>
    <w:p w14:paraId="75C12E9C" w14:textId="3F7B6737" w:rsidR="00CC2AA5" w:rsidRDefault="00CC2AA5" w:rsidP="00C50491">
      <w:pPr>
        <w:pStyle w:val="NoSpacing"/>
        <w:rPr>
          <w:rFonts w:ascii="Trebuchet MS" w:hAnsi="Trebuchet MS"/>
        </w:rPr>
      </w:pPr>
    </w:p>
    <w:p w14:paraId="7C3378C7" w14:textId="77777777" w:rsidR="00CC2AA5" w:rsidRPr="00DD5F88" w:rsidRDefault="00CC2AA5" w:rsidP="00C50491">
      <w:pPr>
        <w:pStyle w:val="NoSpacing"/>
        <w:rPr>
          <w:rFonts w:ascii="Trebuchet MS" w:hAnsi="Trebuchet MS"/>
        </w:rPr>
      </w:pPr>
    </w:p>
    <w:bookmarkEnd w:id="3"/>
    <w:p w14:paraId="5A709386" w14:textId="2198937F" w:rsidR="00DC3DD3" w:rsidRDefault="00DC3DD3" w:rsidP="00DC3DD3">
      <w:pPr>
        <w:pStyle w:val="NoSpacing"/>
        <w:jc w:val="center"/>
        <w:rPr>
          <w:rFonts w:ascii="Trebuchet MS" w:hAnsi="Trebuchet MS"/>
          <w:sz w:val="40"/>
          <w:szCs w:val="40"/>
        </w:rPr>
      </w:pPr>
      <w:r w:rsidRPr="00DC3DD3">
        <w:rPr>
          <w:rFonts w:ascii="Trebuchet MS" w:hAnsi="Trebuchet MS"/>
          <w:sz w:val="40"/>
          <w:szCs w:val="40"/>
        </w:rPr>
        <w:t xml:space="preserve"> Practice Guidance </w:t>
      </w:r>
    </w:p>
    <w:p w14:paraId="755F424E" w14:textId="77777777" w:rsidR="000218C7" w:rsidRPr="000218C7" w:rsidRDefault="000218C7" w:rsidP="00DC3DD3">
      <w:pPr>
        <w:pStyle w:val="NoSpacing"/>
        <w:jc w:val="center"/>
        <w:rPr>
          <w:rFonts w:ascii="Trebuchet MS" w:hAnsi="Trebuchet MS"/>
          <w:sz w:val="40"/>
          <w:szCs w:val="40"/>
        </w:rPr>
      </w:pPr>
    </w:p>
    <w:p w14:paraId="580ACC80" w14:textId="2E2658D8" w:rsidR="00F67B88" w:rsidRDefault="00E60E30" w:rsidP="004954F4">
      <w:pPr>
        <w:pStyle w:val="NoSpacing"/>
        <w:numPr>
          <w:ilvl w:val="0"/>
          <w:numId w:val="19"/>
        </w:numPr>
        <w:rPr>
          <w:rFonts w:ascii="Trebuchet MS" w:hAnsi="Trebuchet MS"/>
          <w:b/>
          <w:sz w:val="24"/>
          <w:szCs w:val="24"/>
        </w:rPr>
      </w:pPr>
      <w:r w:rsidRPr="00F67B88">
        <w:rPr>
          <w:rFonts w:ascii="Trebuchet MS" w:hAnsi="Trebuchet MS"/>
          <w:b/>
          <w:sz w:val="28"/>
          <w:szCs w:val="28"/>
        </w:rPr>
        <w:t>Record</w:t>
      </w:r>
      <w:r w:rsidR="00BC7888">
        <w:rPr>
          <w:rFonts w:ascii="Trebuchet MS" w:hAnsi="Trebuchet MS"/>
          <w:b/>
          <w:sz w:val="28"/>
          <w:szCs w:val="28"/>
        </w:rPr>
        <w:t>ing and recor</w:t>
      </w:r>
      <w:r w:rsidR="004C75F0">
        <w:rPr>
          <w:rFonts w:ascii="Trebuchet MS" w:hAnsi="Trebuchet MS"/>
          <w:b/>
          <w:sz w:val="28"/>
          <w:szCs w:val="28"/>
        </w:rPr>
        <w:t>d</w:t>
      </w:r>
      <w:r w:rsidRPr="00F67B88">
        <w:rPr>
          <w:rFonts w:ascii="Trebuchet MS" w:hAnsi="Trebuchet MS"/>
          <w:b/>
          <w:sz w:val="28"/>
          <w:szCs w:val="28"/>
        </w:rPr>
        <w:t xml:space="preserve"> </w:t>
      </w:r>
      <w:r w:rsidR="00BC7888">
        <w:rPr>
          <w:rFonts w:ascii="Trebuchet MS" w:hAnsi="Trebuchet MS"/>
          <w:b/>
          <w:sz w:val="28"/>
          <w:szCs w:val="28"/>
        </w:rPr>
        <w:t>k</w:t>
      </w:r>
      <w:r w:rsidRPr="00F67B88">
        <w:rPr>
          <w:rFonts w:ascii="Trebuchet MS" w:hAnsi="Trebuchet MS"/>
          <w:b/>
          <w:sz w:val="28"/>
          <w:szCs w:val="28"/>
        </w:rPr>
        <w:t>eeping</w:t>
      </w:r>
      <w:r w:rsidRPr="00F67B88">
        <w:rPr>
          <w:rFonts w:ascii="Trebuchet MS" w:hAnsi="Trebuchet MS"/>
          <w:b/>
          <w:sz w:val="24"/>
          <w:szCs w:val="24"/>
        </w:rPr>
        <w:t xml:space="preserve">: </w:t>
      </w:r>
    </w:p>
    <w:p w14:paraId="033F7813" w14:textId="77777777" w:rsidR="00F67B88" w:rsidRPr="00F67B88" w:rsidRDefault="00F67B88" w:rsidP="00F67B88">
      <w:pPr>
        <w:pStyle w:val="NoSpacing"/>
        <w:rPr>
          <w:rFonts w:ascii="Trebuchet MS" w:hAnsi="Trebuchet MS"/>
          <w:b/>
          <w:sz w:val="24"/>
          <w:szCs w:val="24"/>
        </w:rPr>
      </w:pPr>
    </w:p>
    <w:p w14:paraId="438ACC52" w14:textId="04EC1F20" w:rsidR="00E60E30" w:rsidRPr="00F67B88" w:rsidRDefault="00307130" w:rsidP="003451B1">
      <w:pPr>
        <w:pStyle w:val="NoSpacing"/>
        <w:numPr>
          <w:ilvl w:val="1"/>
          <w:numId w:val="19"/>
        </w:numPr>
        <w:rPr>
          <w:rFonts w:ascii="Trebuchet MS" w:hAnsi="Trebuchet MS"/>
          <w:b/>
          <w:sz w:val="24"/>
          <w:szCs w:val="24"/>
        </w:rPr>
      </w:pPr>
      <w:r w:rsidRPr="00F67B88">
        <w:rPr>
          <w:rFonts w:ascii="Trebuchet MS" w:hAnsi="Trebuchet MS"/>
          <w:sz w:val="24"/>
          <w:szCs w:val="24"/>
        </w:rPr>
        <w:t>Record-keeping is an integral part of all adult safeguarding processes to ensure that adults with care and support needs are safeguarded, and that organisations and individuals are accountable for their actions when responding to concerns about a person in a Position of Trust.</w:t>
      </w:r>
    </w:p>
    <w:p w14:paraId="50E65CF9" w14:textId="77777777" w:rsidR="00F67B88" w:rsidRDefault="00F67B88" w:rsidP="00F67B88">
      <w:pPr>
        <w:pStyle w:val="NoSpacing"/>
        <w:rPr>
          <w:rFonts w:ascii="Trebuchet MS" w:hAnsi="Trebuchet MS"/>
          <w:sz w:val="24"/>
          <w:szCs w:val="24"/>
        </w:rPr>
      </w:pPr>
    </w:p>
    <w:p w14:paraId="1742C352" w14:textId="7172C4DF" w:rsidR="00307130" w:rsidRPr="00F67B88" w:rsidRDefault="00307130" w:rsidP="003451B1">
      <w:pPr>
        <w:pStyle w:val="NoSpacing"/>
        <w:numPr>
          <w:ilvl w:val="1"/>
          <w:numId w:val="19"/>
        </w:numPr>
        <w:rPr>
          <w:rFonts w:ascii="Trebuchet MS" w:hAnsi="Trebuchet MS"/>
          <w:sz w:val="24"/>
          <w:szCs w:val="24"/>
        </w:rPr>
      </w:pPr>
      <w:r w:rsidRPr="00F67B88">
        <w:rPr>
          <w:rFonts w:ascii="Trebuchet MS" w:hAnsi="Trebuchet MS"/>
          <w:sz w:val="24"/>
          <w:szCs w:val="24"/>
        </w:rPr>
        <w:t>Individuals with responsibility for the investigation and management of PIPOT concerns must, as far as is practicable, contemporaneously document a complete account of the events, actions and any decisions taken, together with their rationale. This is to enable any objective person to understand the basis of any decision that was made, together with any subsequent action taken</w:t>
      </w:r>
    </w:p>
    <w:p w14:paraId="25B46FB1" w14:textId="162DA0EF" w:rsidR="00307130" w:rsidRPr="00F67B88" w:rsidRDefault="00307130" w:rsidP="00307130">
      <w:pPr>
        <w:pStyle w:val="NoSpacing"/>
        <w:ind w:left="540"/>
        <w:rPr>
          <w:rFonts w:ascii="Trebuchet MS" w:hAnsi="Trebuchet MS"/>
          <w:b/>
          <w:sz w:val="24"/>
          <w:szCs w:val="24"/>
        </w:rPr>
      </w:pPr>
    </w:p>
    <w:p w14:paraId="6F83BD2C" w14:textId="5AF78C55" w:rsidR="00307130" w:rsidRPr="00F67B88" w:rsidRDefault="00307130" w:rsidP="003451B1">
      <w:pPr>
        <w:pStyle w:val="NoSpacing"/>
        <w:numPr>
          <w:ilvl w:val="1"/>
          <w:numId w:val="19"/>
        </w:numPr>
        <w:rPr>
          <w:rFonts w:ascii="Trebuchet MS" w:hAnsi="Trebuchet MS"/>
          <w:sz w:val="24"/>
          <w:szCs w:val="24"/>
        </w:rPr>
      </w:pPr>
      <w:r w:rsidRPr="00F67B88">
        <w:rPr>
          <w:rFonts w:ascii="Trebuchet MS" w:hAnsi="Trebuchet MS"/>
          <w:sz w:val="24"/>
          <w:szCs w:val="24"/>
        </w:rPr>
        <w:t xml:space="preserve">Records of actions taken to investigate PIPOT concerns which have been found to be without substance should also be retained </w:t>
      </w:r>
      <w:r w:rsidR="00F67B88" w:rsidRPr="00F67B88">
        <w:rPr>
          <w:rFonts w:ascii="Trebuchet MS" w:hAnsi="Trebuchet MS"/>
          <w:sz w:val="24"/>
          <w:szCs w:val="24"/>
        </w:rPr>
        <w:t>to</w:t>
      </w:r>
      <w:r w:rsidRPr="00F67B88">
        <w:rPr>
          <w:rFonts w:ascii="Trebuchet MS" w:hAnsi="Trebuchet MS"/>
          <w:sz w:val="24"/>
          <w:szCs w:val="24"/>
        </w:rPr>
        <w:t xml:space="preserve"> build up any history</w:t>
      </w:r>
    </w:p>
    <w:p w14:paraId="04113316" w14:textId="22E175E9" w:rsidR="00307130" w:rsidRPr="00F67B88" w:rsidRDefault="00307130" w:rsidP="00307130">
      <w:pPr>
        <w:pStyle w:val="NoSpacing"/>
        <w:ind w:left="540"/>
        <w:rPr>
          <w:rFonts w:ascii="Trebuchet MS" w:hAnsi="Trebuchet MS"/>
          <w:b/>
          <w:sz w:val="24"/>
          <w:szCs w:val="24"/>
        </w:rPr>
      </w:pPr>
    </w:p>
    <w:p w14:paraId="7502C186" w14:textId="3EC84581" w:rsidR="00CC2AA5" w:rsidRPr="00B70047" w:rsidRDefault="00307130" w:rsidP="007378B6">
      <w:pPr>
        <w:pStyle w:val="ListParagraph"/>
        <w:numPr>
          <w:ilvl w:val="1"/>
          <w:numId w:val="19"/>
        </w:numPr>
        <w:ind w:right="955"/>
        <w:jc w:val="both"/>
        <w:rPr>
          <w:rFonts w:ascii="Trebuchet MS" w:hAnsi="Trebuchet MS"/>
          <w:sz w:val="24"/>
          <w:szCs w:val="24"/>
        </w:rPr>
      </w:pPr>
      <w:r w:rsidRPr="00B70047">
        <w:rPr>
          <w:rFonts w:ascii="Trebuchet MS" w:hAnsi="Trebuchet MS"/>
          <w:sz w:val="24"/>
          <w:szCs w:val="24"/>
        </w:rPr>
        <w:t xml:space="preserve">Records may be used to prepare reports to the </w:t>
      </w:r>
      <w:r w:rsidR="00F67B88" w:rsidRPr="00B70047">
        <w:rPr>
          <w:rFonts w:ascii="Trebuchet MS" w:hAnsi="Trebuchet MS"/>
          <w:sz w:val="24"/>
          <w:szCs w:val="24"/>
        </w:rPr>
        <w:t>Enfield Safeguarding</w:t>
      </w:r>
      <w:r w:rsidRPr="00B70047">
        <w:rPr>
          <w:rFonts w:ascii="Trebuchet MS" w:hAnsi="Trebuchet MS"/>
          <w:sz w:val="24"/>
          <w:szCs w:val="24"/>
        </w:rPr>
        <w:t xml:space="preserve"> Adult Board (for example to identify trends and patterns or give assurance that adults with care and support needs have been protected).</w:t>
      </w:r>
    </w:p>
    <w:p w14:paraId="42DB601B" w14:textId="77777777" w:rsidR="00CC2AA5" w:rsidRPr="00CC2AA5" w:rsidRDefault="00CC2AA5" w:rsidP="00CC2AA5">
      <w:pPr>
        <w:pStyle w:val="ListParagraph"/>
        <w:ind w:left="360" w:right="955"/>
        <w:jc w:val="both"/>
        <w:rPr>
          <w:rFonts w:ascii="Trebuchet MS" w:hAnsi="Trebuchet MS"/>
          <w:sz w:val="24"/>
          <w:szCs w:val="24"/>
        </w:rPr>
      </w:pPr>
    </w:p>
    <w:p w14:paraId="435201E1" w14:textId="13966BAA" w:rsidR="003451B1" w:rsidRDefault="00F67B88" w:rsidP="003451B1">
      <w:pPr>
        <w:pStyle w:val="ListParagraph"/>
        <w:numPr>
          <w:ilvl w:val="1"/>
          <w:numId w:val="19"/>
        </w:numPr>
        <w:ind w:right="957"/>
        <w:jc w:val="both"/>
        <w:rPr>
          <w:rFonts w:ascii="Trebuchet MS" w:hAnsi="Trebuchet MS"/>
          <w:sz w:val="24"/>
          <w:szCs w:val="24"/>
        </w:rPr>
      </w:pPr>
      <w:r w:rsidRPr="003451B1">
        <w:rPr>
          <w:rFonts w:ascii="Trebuchet MS" w:hAnsi="Trebuchet MS"/>
          <w:sz w:val="24"/>
          <w:szCs w:val="24"/>
        </w:rPr>
        <w:t>Records might</w:t>
      </w:r>
      <w:r w:rsidR="00307130" w:rsidRPr="003451B1">
        <w:rPr>
          <w:rFonts w:ascii="Trebuchet MS" w:hAnsi="Trebuchet MS"/>
          <w:sz w:val="24"/>
          <w:szCs w:val="24"/>
        </w:rPr>
        <w:t xml:space="preserve"> also be shared with any other relevant party to ensure the safety of adults with care and support</w:t>
      </w:r>
      <w:r w:rsidR="00307130" w:rsidRPr="003451B1">
        <w:rPr>
          <w:rFonts w:ascii="Trebuchet MS" w:hAnsi="Trebuchet MS"/>
          <w:spacing w:val="-2"/>
          <w:sz w:val="24"/>
          <w:szCs w:val="24"/>
        </w:rPr>
        <w:t xml:space="preserve"> </w:t>
      </w:r>
      <w:r w:rsidR="00307130" w:rsidRPr="003451B1">
        <w:rPr>
          <w:rFonts w:ascii="Trebuchet MS" w:hAnsi="Trebuchet MS"/>
          <w:sz w:val="24"/>
          <w:szCs w:val="24"/>
        </w:rPr>
        <w:t>needs.</w:t>
      </w:r>
    </w:p>
    <w:p w14:paraId="0CAD0A10" w14:textId="77777777" w:rsidR="003451B1" w:rsidRPr="003451B1" w:rsidRDefault="003451B1" w:rsidP="003451B1">
      <w:pPr>
        <w:pStyle w:val="ListParagraph"/>
        <w:ind w:left="360" w:right="957"/>
        <w:jc w:val="both"/>
        <w:rPr>
          <w:rFonts w:ascii="Trebuchet MS" w:hAnsi="Trebuchet MS"/>
          <w:sz w:val="24"/>
          <w:szCs w:val="24"/>
        </w:rPr>
      </w:pPr>
    </w:p>
    <w:p w14:paraId="5A857527" w14:textId="298285B8" w:rsidR="003451B1" w:rsidRDefault="00307130" w:rsidP="003451B1">
      <w:pPr>
        <w:pStyle w:val="ListParagraph"/>
        <w:numPr>
          <w:ilvl w:val="1"/>
          <w:numId w:val="19"/>
        </w:numPr>
        <w:ind w:right="956"/>
        <w:jc w:val="both"/>
        <w:rPr>
          <w:rFonts w:ascii="Trebuchet MS" w:hAnsi="Trebuchet MS"/>
          <w:sz w:val="24"/>
          <w:szCs w:val="24"/>
        </w:rPr>
      </w:pPr>
      <w:r w:rsidRPr="003451B1">
        <w:rPr>
          <w:rFonts w:ascii="Trebuchet MS" w:hAnsi="Trebuchet MS"/>
          <w:sz w:val="24"/>
          <w:szCs w:val="24"/>
        </w:rPr>
        <w:t>A chronology or log of key events, decisions and actions taken should also be maintained to provide a ready overview of progress.</w:t>
      </w:r>
    </w:p>
    <w:p w14:paraId="271F5908" w14:textId="77777777" w:rsidR="003451B1" w:rsidRPr="003451B1" w:rsidRDefault="003451B1" w:rsidP="003451B1">
      <w:pPr>
        <w:pStyle w:val="ListParagraph"/>
        <w:rPr>
          <w:rFonts w:ascii="Trebuchet MS" w:hAnsi="Trebuchet MS"/>
          <w:sz w:val="24"/>
          <w:szCs w:val="24"/>
        </w:rPr>
      </w:pPr>
    </w:p>
    <w:p w14:paraId="2F5D0B5D" w14:textId="355E41F9" w:rsidR="00307130" w:rsidRDefault="00307130" w:rsidP="003451B1">
      <w:pPr>
        <w:pStyle w:val="ListParagraph"/>
        <w:numPr>
          <w:ilvl w:val="1"/>
          <w:numId w:val="28"/>
        </w:numPr>
        <w:ind w:right="955"/>
        <w:jc w:val="both"/>
        <w:rPr>
          <w:rFonts w:ascii="Trebuchet MS" w:hAnsi="Trebuchet MS"/>
          <w:sz w:val="24"/>
          <w:szCs w:val="24"/>
        </w:rPr>
      </w:pPr>
      <w:r w:rsidRPr="003451B1">
        <w:rPr>
          <w:rFonts w:ascii="Trebuchet MS" w:hAnsi="Trebuchet MS"/>
          <w:sz w:val="24"/>
          <w:szCs w:val="24"/>
        </w:rPr>
        <w:t xml:space="preserve">Individuals (including a person in a position of trust who is the subject of </w:t>
      </w:r>
      <w:r w:rsidRPr="003451B1">
        <w:rPr>
          <w:rFonts w:ascii="Trebuchet MS" w:hAnsi="Trebuchet MS"/>
          <w:spacing w:val="-2"/>
          <w:sz w:val="24"/>
          <w:szCs w:val="24"/>
        </w:rPr>
        <w:t xml:space="preserve">the </w:t>
      </w:r>
      <w:r w:rsidRPr="003451B1">
        <w:rPr>
          <w:rFonts w:ascii="Trebuchet MS" w:hAnsi="Trebuchet MS"/>
          <w:sz w:val="24"/>
          <w:szCs w:val="24"/>
        </w:rPr>
        <w:t>recording) are entitled to have access to their personal records whether they are stored electronically or manually. It is therefore important that information recorded, is fair, accurate and</w:t>
      </w:r>
      <w:r w:rsidRPr="003451B1">
        <w:rPr>
          <w:rFonts w:ascii="Trebuchet MS" w:hAnsi="Trebuchet MS"/>
          <w:spacing w:val="-2"/>
          <w:sz w:val="24"/>
          <w:szCs w:val="24"/>
        </w:rPr>
        <w:t xml:space="preserve"> </w:t>
      </w:r>
      <w:r w:rsidRPr="003451B1">
        <w:rPr>
          <w:rFonts w:ascii="Trebuchet MS" w:hAnsi="Trebuchet MS"/>
          <w:sz w:val="24"/>
          <w:szCs w:val="24"/>
        </w:rPr>
        <w:t>balanced</w:t>
      </w:r>
      <w:r w:rsidR="003451B1">
        <w:rPr>
          <w:rFonts w:ascii="Trebuchet MS" w:hAnsi="Trebuchet MS"/>
          <w:sz w:val="24"/>
          <w:szCs w:val="24"/>
        </w:rPr>
        <w:t>.</w:t>
      </w:r>
    </w:p>
    <w:p w14:paraId="7C15AF2A" w14:textId="77777777" w:rsidR="00D0144D" w:rsidRDefault="00D0144D" w:rsidP="00D0144D">
      <w:pPr>
        <w:pStyle w:val="ListParagraph"/>
        <w:ind w:left="360" w:right="955"/>
        <w:jc w:val="both"/>
        <w:rPr>
          <w:rFonts w:ascii="Trebuchet MS" w:hAnsi="Trebuchet MS"/>
          <w:sz w:val="24"/>
          <w:szCs w:val="24"/>
        </w:rPr>
      </w:pPr>
    </w:p>
    <w:p w14:paraId="40CA8BB4" w14:textId="400C9D69" w:rsidR="00D0144D" w:rsidRDefault="00D0144D" w:rsidP="003451B1">
      <w:pPr>
        <w:pStyle w:val="ListParagraph"/>
        <w:numPr>
          <w:ilvl w:val="1"/>
          <w:numId w:val="28"/>
        </w:numPr>
        <w:ind w:right="955"/>
        <w:jc w:val="both"/>
        <w:rPr>
          <w:rFonts w:ascii="Trebuchet MS" w:hAnsi="Trebuchet MS"/>
          <w:sz w:val="24"/>
          <w:szCs w:val="24"/>
        </w:rPr>
      </w:pPr>
      <w:r>
        <w:rPr>
          <w:rFonts w:ascii="Trebuchet MS" w:hAnsi="Trebuchet MS"/>
          <w:sz w:val="24"/>
          <w:szCs w:val="24"/>
        </w:rPr>
        <w:t>A suggested recording keeping template is available from the London Borough of Enfield (currently in Excel). This does not replace the need to keep minutes and correspondence but provides an overview of PIPOT activity. Fields should include:</w:t>
      </w:r>
    </w:p>
    <w:p w14:paraId="3EFF9492" w14:textId="27749F87" w:rsidR="00D0144D" w:rsidRDefault="00D0144D" w:rsidP="00D0144D">
      <w:pPr>
        <w:pStyle w:val="ListParagraph"/>
        <w:numPr>
          <w:ilvl w:val="0"/>
          <w:numId w:val="37"/>
        </w:numPr>
        <w:ind w:right="955"/>
        <w:jc w:val="both"/>
        <w:rPr>
          <w:rFonts w:ascii="Trebuchet MS" w:hAnsi="Trebuchet MS"/>
          <w:sz w:val="24"/>
          <w:szCs w:val="24"/>
        </w:rPr>
      </w:pPr>
      <w:r>
        <w:rPr>
          <w:rFonts w:ascii="Trebuchet MS" w:hAnsi="Trebuchet MS"/>
          <w:sz w:val="24"/>
          <w:szCs w:val="24"/>
        </w:rPr>
        <w:t>Full details of the original referral and referrer (date, name, contact details, job role).</w:t>
      </w:r>
    </w:p>
    <w:p w14:paraId="055F9F1C" w14:textId="01498AF2" w:rsidR="00D0144D" w:rsidRDefault="00D0144D" w:rsidP="00D0144D">
      <w:pPr>
        <w:pStyle w:val="ListParagraph"/>
        <w:numPr>
          <w:ilvl w:val="0"/>
          <w:numId w:val="37"/>
        </w:numPr>
        <w:ind w:right="955"/>
        <w:jc w:val="both"/>
        <w:rPr>
          <w:rFonts w:ascii="Trebuchet MS" w:hAnsi="Trebuchet MS"/>
          <w:sz w:val="24"/>
          <w:szCs w:val="24"/>
        </w:rPr>
      </w:pPr>
      <w:r>
        <w:rPr>
          <w:rFonts w:ascii="Trebuchet MS" w:hAnsi="Trebuchet MS"/>
          <w:sz w:val="24"/>
          <w:szCs w:val="24"/>
        </w:rPr>
        <w:t>Full details of the PIPOT and the relevant employer.</w:t>
      </w:r>
    </w:p>
    <w:p w14:paraId="7D642034" w14:textId="64C24339" w:rsidR="00D0144D" w:rsidRDefault="00D0144D" w:rsidP="00D0144D">
      <w:pPr>
        <w:pStyle w:val="ListParagraph"/>
        <w:numPr>
          <w:ilvl w:val="0"/>
          <w:numId w:val="37"/>
        </w:numPr>
        <w:ind w:right="955"/>
        <w:jc w:val="both"/>
        <w:rPr>
          <w:rFonts w:ascii="Trebuchet MS" w:hAnsi="Trebuchet MS"/>
          <w:sz w:val="24"/>
          <w:szCs w:val="24"/>
        </w:rPr>
      </w:pPr>
      <w:r>
        <w:rPr>
          <w:rFonts w:ascii="Trebuchet MS" w:hAnsi="Trebuchet MS"/>
          <w:sz w:val="24"/>
          <w:szCs w:val="24"/>
        </w:rPr>
        <w:lastRenderedPageBreak/>
        <w:t>Details of the concern itself (allegation, other agencies involved in this, when/ where).</w:t>
      </w:r>
    </w:p>
    <w:p w14:paraId="0B99C058" w14:textId="7D4D8F2A" w:rsidR="00D0144D" w:rsidRDefault="00D0144D" w:rsidP="00D0144D">
      <w:pPr>
        <w:pStyle w:val="ListParagraph"/>
        <w:numPr>
          <w:ilvl w:val="0"/>
          <w:numId w:val="37"/>
        </w:numPr>
        <w:ind w:right="955"/>
        <w:jc w:val="both"/>
        <w:rPr>
          <w:rFonts w:ascii="Trebuchet MS" w:hAnsi="Trebuchet MS"/>
          <w:sz w:val="24"/>
          <w:szCs w:val="24"/>
        </w:rPr>
      </w:pPr>
      <w:r>
        <w:rPr>
          <w:rFonts w:ascii="Trebuchet MS" w:hAnsi="Trebuchet MS"/>
          <w:sz w:val="24"/>
          <w:szCs w:val="24"/>
        </w:rPr>
        <w:t>Who is managing the PIPOT process in relation to this person.</w:t>
      </w:r>
    </w:p>
    <w:p w14:paraId="237A32B3" w14:textId="6387E784" w:rsidR="00D0144D" w:rsidRDefault="00D0144D" w:rsidP="00D0144D">
      <w:pPr>
        <w:pStyle w:val="ListParagraph"/>
        <w:numPr>
          <w:ilvl w:val="0"/>
          <w:numId w:val="37"/>
        </w:numPr>
        <w:ind w:right="955"/>
        <w:jc w:val="both"/>
        <w:rPr>
          <w:rFonts w:ascii="Trebuchet MS" w:hAnsi="Trebuchet MS"/>
          <w:sz w:val="24"/>
          <w:szCs w:val="24"/>
        </w:rPr>
      </w:pPr>
      <w:r>
        <w:rPr>
          <w:rFonts w:ascii="Trebuchet MS" w:hAnsi="Trebuchet MS"/>
          <w:sz w:val="24"/>
          <w:szCs w:val="24"/>
        </w:rPr>
        <w:t xml:space="preserve">Dates of meetings and where minutes can be found. </w:t>
      </w:r>
    </w:p>
    <w:p w14:paraId="6FC9A36B" w14:textId="18442E33" w:rsidR="00D0144D" w:rsidRDefault="00D0144D" w:rsidP="00D0144D">
      <w:pPr>
        <w:pStyle w:val="ListParagraph"/>
        <w:numPr>
          <w:ilvl w:val="0"/>
          <w:numId w:val="37"/>
        </w:numPr>
        <w:ind w:right="955"/>
        <w:jc w:val="both"/>
        <w:rPr>
          <w:rFonts w:ascii="Trebuchet MS" w:hAnsi="Trebuchet MS"/>
          <w:sz w:val="24"/>
          <w:szCs w:val="24"/>
        </w:rPr>
      </w:pPr>
      <w:r>
        <w:rPr>
          <w:rFonts w:ascii="Trebuchet MS" w:hAnsi="Trebuchet MS"/>
          <w:sz w:val="24"/>
          <w:szCs w:val="24"/>
        </w:rPr>
        <w:t>Disclosure decided?</w:t>
      </w:r>
    </w:p>
    <w:p w14:paraId="0AAD2B3B" w14:textId="32387078" w:rsidR="00D0144D" w:rsidRDefault="00D0144D" w:rsidP="00D0144D">
      <w:pPr>
        <w:pStyle w:val="ListParagraph"/>
        <w:numPr>
          <w:ilvl w:val="0"/>
          <w:numId w:val="37"/>
        </w:numPr>
        <w:ind w:right="955"/>
        <w:jc w:val="both"/>
        <w:rPr>
          <w:rFonts w:ascii="Trebuchet MS" w:hAnsi="Trebuchet MS"/>
          <w:sz w:val="24"/>
          <w:szCs w:val="24"/>
        </w:rPr>
      </w:pPr>
      <w:r>
        <w:rPr>
          <w:rFonts w:ascii="Trebuchet MS" w:hAnsi="Trebuchet MS"/>
          <w:sz w:val="24"/>
          <w:szCs w:val="24"/>
        </w:rPr>
        <w:t>Date of disclosure to employer and route (e.g. e-mail or postal address sent to – individual’s name) and timescales given for response.</w:t>
      </w:r>
    </w:p>
    <w:p w14:paraId="50579C46" w14:textId="642DF6C7" w:rsidR="00D0144D" w:rsidRDefault="00D0144D" w:rsidP="00D0144D">
      <w:pPr>
        <w:pStyle w:val="ListParagraph"/>
        <w:numPr>
          <w:ilvl w:val="0"/>
          <w:numId w:val="37"/>
        </w:numPr>
        <w:ind w:right="955"/>
        <w:jc w:val="both"/>
        <w:rPr>
          <w:rFonts w:ascii="Trebuchet MS" w:hAnsi="Trebuchet MS"/>
          <w:sz w:val="24"/>
          <w:szCs w:val="24"/>
        </w:rPr>
      </w:pPr>
      <w:r>
        <w:rPr>
          <w:rFonts w:ascii="Trebuchet MS" w:hAnsi="Trebuchet MS"/>
          <w:sz w:val="24"/>
          <w:szCs w:val="24"/>
        </w:rPr>
        <w:t>Acknowledgement of disclosure received on?</w:t>
      </w:r>
    </w:p>
    <w:p w14:paraId="52611DD6" w14:textId="28789069" w:rsidR="00D0144D" w:rsidRDefault="00D0144D" w:rsidP="00D0144D">
      <w:pPr>
        <w:pStyle w:val="ListParagraph"/>
        <w:numPr>
          <w:ilvl w:val="0"/>
          <w:numId w:val="37"/>
        </w:numPr>
        <w:ind w:right="955"/>
        <w:jc w:val="both"/>
        <w:rPr>
          <w:rFonts w:ascii="Trebuchet MS" w:hAnsi="Trebuchet MS"/>
          <w:sz w:val="24"/>
          <w:szCs w:val="24"/>
        </w:rPr>
      </w:pPr>
      <w:r>
        <w:rPr>
          <w:rFonts w:ascii="Trebuchet MS" w:hAnsi="Trebuchet MS"/>
          <w:sz w:val="24"/>
          <w:szCs w:val="24"/>
        </w:rPr>
        <w:t>Outcomes from employer/ registering body – date received, what will happen, any pending information (e.g. internal or police enquiry).</w:t>
      </w:r>
    </w:p>
    <w:p w14:paraId="44C7E477" w14:textId="5371A730" w:rsidR="00D0144D" w:rsidRPr="00D0144D" w:rsidRDefault="00D0144D" w:rsidP="00D0144D">
      <w:pPr>
        <w:pStyle w:val="ListParagraph"/>
        <w:numPr>
          <w:ilvl w:val="0"/>
          <w:numId w:val="37"/>
        </w:numPr>
        <w:ind w:right="955"/>
        <w:jc w:val="both"/>
        <w:rPr>
          <w:rFonts w:ascii="Trebuchet MS" w:hAnsi="Trebuchet MS"/>
          <w:sz w:val="24"/>
          <w:szCs w:val="24"/>
        </w:rPr>
      </w:pPr>
      <w:r>
        <w:rPr>
          <w:rFonts w:ascii="Trebuchet MS" w:hAnsi="Trebuchet MS"/>
          <w:sz w:val="24"/>
          <w:szCs w:val="24"/>
        </w:rPr>
        <w:t xml:space="preserve">Any other actions agreed. </w:t>
      </w:r>
    </w:p>
    <w:p w14:paraId="4040D5D2" w14:textId="77777777" w:rsidR="003451B1" w:rsidRPr="003451B1" w:rsidRDefault="003451B1" w:rsidP="003451B1">
      <w:pPr>
        <w:pStyle w:val="ListParagraph"/>
        <w:ind w:left="360" w:right="955"/>
        <w:jc w:val="both"/>
        <w:rPr>
          <w:rFonts w:ascii="Trebuchet MS" w:hAnsi="Trebuchet MS"/>
          <w:sz w:val="24"/>
          <w:szCs w:val="24"/>
        </w:rPr>
      </w:pPr>
    </w:p>
    <w:p w14:paraId="15281216" w14:textId="2C6805EE" w:rsidR="00307130" w:rsidRPr="00D0144D" w:rsidRDefault="00D0144D" w:rsidP="00D0144D">
      <w:pPr>
        <w:pStyle w:val="ListParagraph"/>
        <w:numPr>
          <w:ilvl w:val="1"/>
          <w:numId w:val="28"/>
        </w:numPr>
        <w:spacing w:before="1"/>
        <w:jc w:val="both"/>
        <w:rPr>
          <w:rFonts w:ascii="Trebuchet MS" w:hAnsi="Trebuchet MS"/>
          <w:sz w:val="24"/>
          <w:szCs w:val="24"/>
        </w:rPr>
      </w:pPr>
      <w:r>
        <w:rPr>
          <w:rFonts w:ascii="Trebuchet MS" w:hAnsi="Trebuchet MS"/>
          <w:sz w:val="24"/>
          <w:szCs w:val="24"/>
        </w:rPr>
        <w:t xml:space="preserve">  </w:t>
      </w:r>
      <w:r w:rsidR="00307130" w:rsidRPr="00D0144D">
        <w:rPr>
          <w:rFonts w:ascii="Trebuchet MS" w:hAnsi="Trebuchet MS"/>
          <w:sz w:val="24"/>
          <w:szCs w:val="24"/>
        </w:rPr>
        <w:t>The purpose of the PIPOT record-keeping is to:</w:t>
      </w:r>
    </w:p>
    <w:p w14:paraId="3E80B3FF" w14:textId="6234B5DB" w:rsidR="00307130" w:rsidRPr="003451B1" w:rsidRDefault="00307130" w:rsidP="003451B1">
      <w:pPr>
        <w:pStyle w:val="ListParagraph"/>
        <w:widowControl w:val="0"/>
        <w:numPr>
          <w:ilvl w:val="1"/>
          <w:numId w:val="27"/>
        </w:numPr>
        <w:tabs>
          <w:tab w:val="left" w:pos="2687"/>
          <w:tab w:val="left" w:pos="2688"/>
        </w:tabs>
        <w:autoSpaceDE w:val="0"/>
        <w:autoSpaceDN w:val="0"/>
        <w:spacing w:after="0" w:line="240" w:lineRule="auto"/>
        <w:ind w:right="958"/>
        <w:rPr>
          <w:rFonts w:ascii="Trebuchet MS" w:hAnsi="Trebuchet MS"/>
          <w:sz w:val="24"/>
          <w:szCs w:val="24"/>
        </w:rPr>
      </w:pPr>
      <w:r w:rsidRPr="003451B1">
        <w:rPr>
          <w:rFonts w:ascii="Trebuchet MS" w:hAnsi="Trebuchet MS"/>
          <w:sz w:val="24"/>
          <w:szCs w:val="24"/>
        </w:rPr>
        <w:t xml:space="preserve">Prevent unnecessary re-investigation if an allegation resurfaces after </w:t>
      </w:r>
      <w:r w:rsidR="00F67B88" w:rsidRPr="003451B1">
        <w:rPr>
          <w:rFonts w:ascii="Trebuchet MS" w:hAnsi="Trebuchet MS"/>
          <w:sz w:val="24"/>
          <w:szCs w:val="24"/>
        </w:rPr>
        <w:t>a period</w:t>
      </w:r>
      <w:r w:rsidRPr="003451B1">
        <w:rPr>
          <w:rFonts w:ascii="Trebuchet MS" w:hAnsi="Trebuchet MS"/>
          <w:sz w:val="24"/>
          <w:szCs w:val="24"/>
        </w:rPr>
        <w:t>.</w:t>
      </w:r>
    </w:p>
    <w:p w14:paraId="1F9686AE" w14:textId="6F8C5597" w:rsidR="00307130" w:rsidRPr="003451B1" w:rsidRDefault="00307130" w:rsidP="003451B1">
      <w:pPr>
        <w:pStyle w:val="ListParagraph"/>
        <w:widowControl w:val="0"/>
        <w:numPr>
          <w:ilvl w:val="0"/>
          <w:numId w:val="27"/>
        </w:numPr>
        <w:tabs>
          <w:tab w:val="left" w:pos="2687"/>
          <w:tab w:val="left" w:pos="2688"/>
        </w:tabs>
        <w:autoSpaceDE w:val="0"/>
        <w:autoSpaceDN w:val="0"/>
        <w:spacing w:after="0" w:line="235" w:lineRule="auto"/>
        <w:ind w:right="958"/>
        <w:rPr>
          <w:rFonts w:ascii="Trebuchet MS" w:hAnsi="Trebuchet MS"/>
          <w:sz w:val="24"/>
          <w:szCs w:val="24"/>
        </w:rPr>
      </w:pPr>
      <w:r w:rsidRPr="003451B1">
        <w:rPr>
          <w:rFonts w:ascii="Trebuchet MS" w:hAnsi="Trebuchet MS"/>
          <w:sz w:val="24"/>
          <w:szCs w:val="24"/>
        </w:rPr>
        <w:t>Enable patterns of behaviour which may pose a risk to adults with care and support needs to be identified.</w:t>
      </w:r>
    </w:p>
    <w:p w14:paraId="7364C356" w14:textId="4A121D58" w:rsidR="009B09A1" w:rsidRDefault="009B09A1" w:rsidP="003451B1">
      <w:pPr>
        <w:pStyle w:val="ListParagraph"/>
        <w:widowControl w:val="0"/>
        <w:numPr>
          <w:ilvl w:val="0"/>
          <w:numId w:val="27"/>
        </w:numPr>
        <w:tabs>
          <w:tab w:val="left" w:pos="2687"/>
          <w:tab w:val="left" w:pos="2688"/>
        </w:tabs>
        <w:autoSpaceDE w:val="0"/>
        <w:autoSpaceDN w:val="0"/>
        <w:spacing w:after="0" w:line="235" w:lineRule="auto"/>
        <w:ind w:right="958"/>
        <w:rPr>
          <w:rFonts w:ascii="Trebuchet MS" w:hAnsi="Trebuchet MS"/>
          <w:sz w:val="24"/>
          <w:szCs w:val="24"/>
        </w:rPr>
      </w:pPr>
      <w:r w:rsidRPr="003451B1">
        <w:rPr>
          <w:rFonts w:ascii="Trebuchet MS" w:hAnsi="Trebuchet MS"/>
          <w:sz w:val="24"/>
          <w:szCs w:val="24"/>
        </w:rPr>
        <w:t xml:space="preserve">To assure the </w:t>
      </w:r>
      <w:r w:rsidR="00F67B88" w:rsidRPr="003451B1">
        <w:rPr>
          <w:rFonts w:ascii="Trebuchet MS" w:hAnsi="Trebuchet MS"/>
          <w:sz w:val="24"/>
          <w:szCs w:val="24"/>
        </w:rPr>
        <w:t>S</w:t>
      </w:r>
      <w:r w:rsidRPr="003451B1">
        <w:rPr>
          <w:rFonts w:ascii="Trebuchet MS" w:hAnsi="Trebuchet MS"/>
          <w:sz w:val="24"/>
          <w:szCs w:val="24"/>
        </w:rPr>
        <w:t xml:space="preserve">afeguarding Adults </w:t>
      </w:r>
      <w:r w:rsidR="00F67B88" w:rsidRPr="003451B1">
        <w:rPr>
          <w:rFonts w:ascii="Trebuchet MS" w:hAnsi="Trebuchet MS"/>
          <w:sz w:val="24"/>
          <w:szCs w:val="24"/>
        </w:rPr>
        <w:t>Board that</w:t>
      </w:r>
      <w:r w:rsidR="00641268" w:rsidRPr="003451B1">
        <w:rPr>
          <w:rFonts w:ascii="Trebuchet MS" w:hAnsi="Trebuchet MS"/>
          <w:sz w:val="24"/>
          <w:szCs w:val="24"/>
        </w:rPr>
        <w:t xml:space="preserve"> </w:t>
      </w:r>
      <w:r w:rsidR="00F67B88" w:rsidRPr="003451B1">
        <w:rPr>
          <w:rFonts w:ascii="Trebuchet MS" w:hAnsi="Trebuchet MS"/>
          <w:sz w:val="24"/>
          <w:szCs w:val="24"/>
        </w:rPr>
        <w:t>a</w:t>
      </w:r>
      <w:r w:rsidR="00641268" w:rsidRPr="003451B1">
        <w:rPr>
          <w:rFonts w:ascii="Trebuchet MS" w:hAnsi="Trebuchet MS"/>
          <w:sz w:val="24"/>
          <w:szCs w:val="24"/>
        </w:rPr>
        <w:t>dults with care and support needs are protected from harm</w:t>
      </w:r>
      <w:r w:rsidR="00DA7E0C">
        <w:rPr>
          <w:rFonts w:ascii="Trebuchet MS" w:hAnsi="Trebuchet MS"/>
          <w:sz w:val="24"/>
          <w:szCs w:val="24"/>
        </w:rPr>
        <w:t>.</w:t>
      </w:r>
    </w:p>
    <w:p w14:paraId="33FC871F" w14:textId="77777777" w:rsidR="00DA7E0C" w:rsidRDefault="00DA7E0C" w:rsidP="00DA7E0C">
      <w:pPr>
        <w:pStyle w:val="ListParagraph"/>
        <w:widowControl w:val="0"/>
        <w:tabs>
          <w:tab w:val="left" w:pos="2687"/>
          <w:tab w:val="left" w:pos="2688"/>
        </w:tabs>
        <w:autoSpaceDE w:val="0"/>
        <w:autoSpaceDN w:val="0"/>
        <w:spacing w:after="0" w:line="235" w:lineRule="auto"/>
        <w:ind w:left="540" w:right="958"/>
        <w:rPr>
          <w:rFonts w:ascii="Trebuchet MS" w:hAnsi="Trebuchet MS"/>
          <w:sz w:val="24"/>
          <w:szCs w:val="24"/>
        </w:rPr>
      </w:pPr>
    </w:p>
    <w:p w14:paraId="1B6D2119" w14:textId="4D5E8FCA" w:rsidR="00DA7E0C" w:rsidRPr="00DA7E0C" w:rsidRDefault="00DA7E0C" w:rsidP="00DA7E0C">
      <w:pPr>
        <w:widowControl w:val="0"/>
        <w:tabs>
          <w:tab w:val="left" w:pos="2687"/>
          <w:tab w:val="left" w:pos="2688"/>
        </w:tabs>
        <w:autoSpaceDE w:val="0"/>
        <w:autoSpaceDN w:val="0"/>
        <w:spacing w:after="0" w:line="235" w:lineRule="auto"/>
        <w:ind w:right="958"/>
        <w:rPr>
          <w:rFonts w:ascii="Trebuchet MS" w:hAnsi="Trebuchet MS"/>
          <w:sz w:val="24"/>
          <w:szCs w:val="24"/>
        </w:rPr>
      </w:pPr>
      <w:r>
        <w:rPr>
          <w:rFonts w:ascii="Trebuchet MS" w:hAnsi="Trebuchet MS"/>
          <w:sz w:val="24"/>
          <w:szCs w:val="24"/>
        </w:rPr>
        <w:t xml:space="preserve">8.10 Partner agencies who form part of the Enfield Safeguarding Adults Board are expected to report PIPOT activity to the ESAB on an annual basis. </w:t>
      </w:r>
    </w:p>
    <w:p w14:paraId="59C0FB09" w14:textId="14C650C4" w:rsidR="00412940" w:rsidRPr="00D0144D" w:rsidRDefault="009B09A1" w:rsidP="00E90F1F">
      <w:pPr>
        <w:ind w:right="955"/>
        <w:jc w:val="both"/>
        <w:rPr>
          <w:rFonts w:ascii="Trebuchet MS" w:hAnsi="Trebuchet MS"/>
          <w:sz w:val="24"/>
          <w:szCs w:val="24"/>
        </w:rPr>
      </w:pPr>
      <w:r w:rsidRPr="00F67B88">
        <w:rPr>
          <w:rFonts w:ascii="Trebuchet MS" w:hAnsi="Trebuchet MS"/>
          <w:sz w:val="24"/>
          <w:szCs w:val="24"/>
        </w:rPr>
        <w:t xml:space="preserve"> </w:t>
      </w:r>
    </w:p>
    <w:p w14:paraId="1367796D" w14:textId="3751647E" w:rsidR="00E90F1F" w:rsidRDefault="00643CBE" w:rsidP="008116B9">
      <w:pPr>
        <w:pStyle w:val="NoSpacing"/>
        <w:numPr>
          <w:ilvl w:val="0"/>
          <w:numId w:val="6"/>
        </w:numPr>
        <w:rPr>
          <w:rFonts w:ascii="Trebuchet MS" w:hAnsi="Trebuchet MS"/>
          <w:b/>
          <w:sz w:val="32"/>
          <w:szCs w:val="32"/>
        </w:rPr>
      </w:pPr>
      <w:r>
        <w:rPr>
          <w:rFonts w:ascii="Trebuchet MS" w:hAnsi="Trebuchet MS"/>
          <w:b/>
          <w:sz w:val="28"/>
          <w:szCs w:val="28"/>
        </w:rPr>
        <w:t xml:space="preserve"> ESAB Partners </w:t>
      </w:r>
      <w:r w:rsidR="00E90F1F" w:rsidRPr="00CA74E6">
        <w:rPr>
          <w:rFonts w:ascii="Trebuchet MS" w:hAnsi="Trebuchet MS"/>
          <w:b/>
          <w:sz w:val="28"/>
          <w:szCs w:val="28"/>
        </w:rPr>
        <w:t>Good Practice Checklist</w:t>
      </w:r>
      <w:r w:rsidR="00E90F1F" w:rsidRPr="00E90F1F">
        <w:rPr>
          <w:rFonts w:ascii="Trebuchet MS" w:hAnsi="Trebuchet MS"/>
          <w:b/>
          <w:sz w:val="32"/>
          <w:szCs w:val="32"/>
        </w:rPr>
        <w:t xml:space="preserve">: </w:t>
      </w:r>
    </w:p>
    <w:p w14:paraId="0559375E" w14:textId="36A80BBB" w:rsidR="00CA74E6" w:rsidRDefault="00CA74E6" w:rsidP="00CA74E6">
      <w:pPr>
        <w:pStyle w:val="NoSpacing"/>
        <w:rPr>
          <w:rFonts w:ascii="Trebuchet MS" w:hAnsi="Trebuchet MS"/>
          <w:b/>
          <w:sz w:val="32"/>
          <w:szCs w:val="32"/>
        </w:rPr>
      </w:pPr>
    </w:p>
    <w:p w14:paraId="67D6D1BC" w14:textId="7D0339CB" w:rsidR="00CA74E6" w:rsidRDefault="00CA74E6" w:rsidP="00770D99">
      <w:pPr>
        <w:pStyle w:val="NoSpacing"/>
        <w:rPr>
          <w:rFonts w:ascii="Trebuchet MS" w:hAnsi="Trebuchet MS"/>
        </w:rPr>
      </w:pPr>
      <w:r w:rsidRPr="00CA74E6">
        <w:rPr>
          <w:rFonts w:ascii="Trebuchet MS" w:hAnsi="Trebuchet MS"/>
        </w:rPr>
        <w:t xml:space="preserve">Does your </w:t>
      </w:r>
      <w:proofErr w:type="spellStart"/>
      <w:r w:rsidRPr="00CA74E6">
        <w:rPr>
          <w:rFonts w:ascii="Trebuchet MS" w:hAnsi="Trebuchet MS"/>
        </w:rPr>
        <w:t>organi</w:t>
      </w:r>
      <w:r>
        <w:rPr>
          <w:rFonts w:ascii="Trebuchet MS" w:hAnsi="Trebuchet MS"/>
        </w:rPr>
        <w:t>s</w:t>
      </w:r>
      <w:r w:rsidRPr="00CA74E6">
        <w:rPr>
          <w:rFonts w:ascii="Trebuchet MS" w:hAnsi="Trebuchet MS"/>
        </w:rPr>
        <w:t>a</w:t>
      </w:r>
      <w:r>
        <w:rPr>
          <w:rFonts w:ascii="Trebuchet MS" w:hAnsi="Trebuchet MS"/>
        </w:rPr>
        <w:t>tion</w:t>
      </w:r>
      <w:proofErr w:type="spellEnd"/>
      <w:r>
        <w:rPr>
          <w:rFonts w:ascii="Trebuchet MS" w:hAnsi="Trebuchet MS"/>
        </w:rPr>
        <w:t xml:space="preserve"> have an Adult PIPOT lead?</w:t>
      </w:r>
    </w:p>
    <w:p w14:paraId="136F0D6B" w14:textId="77777777" w:rsidR="00E74E4D" w:rsidRDefault="00E74E4D" w:rsidP="00CA74E6">
      <w:pPr>
        <w:pStyle w:val="NoSpacing"/>
        <w:rPr>
          <w:rFonts w:ascii="Trebuchet MS" w:hAnsi="Trebuchet MS"/>
        </w:rPr>
      </w:pPr>
    </w:p>
    <w:p w14:paraId="6CC93CD6" w14:textId="6E248A43" w:rsidR="00CA74E6" w:rsidRDefault="00CA74E6" w:rsidP="00770D99">
      <w:pPr>
        <w:pStyle w:val="NoSpacing"/>
        <w:rPr>
          <w:rFonts w:ascii="Trebuchet MS" w:hAnsi="Trebuchet MS"/>
        </w:rPr>
      </w:pPr>
      <w:r>
        <w:rPr>
          <w:rFonts w:ascii="Trebuchet MS" w:hAnsi="Trebuchet MS"/>
        </w:rPr>
        <w:t xml:space="preserve">Does your organization have a PIPOT record system to record concerns, the steps taken, the decisions made on actions, </w:t>
      </w:r>
      <w:r w:rsidR="005B36F8">
        <w:rPr>
          <w:rFonts w:ascii="Trebuchet MS" w:hAnsi="Trebuchet MS"/>
        </w:rPr>
        <w:t>o</w:t>
      </w:r>
      <w:r>
        <w:rPr>
          <w:rFonts w:ascii="Trebuchet MS" w:hAnsi="Trebuchet MS"/>
        </w:rPr>
        <w:t xml:space="preserve">r no action taken, and the basis of taking this position? </w:t>
      </w:r>
    </w:p>
    <w:p w14:paraId="0AD90BA7" w14:textId="43A0BAF1" w:rsidR="00770D99" w:rsidRDefault="00770D99" w:rsidP="00770D99">
      <w:pPr>
        <w:pStyle w:val="NoSpacing"/>
        <w:rPr>
          <w:rFonts w:ascii="Trebuchet MS" w:hAnsi="Trebuchet MS"/>
        </w:rPr>
      </w:pPr>
    </w:p>
    <w:p w14:paraId="08308F03" w14:textId="277CE121" w:rsidR="00770D99" w:rsidRDefault="00770D99" w:rsidP="00770D99">
      <w:pPr>
        <w:pStyle w:val="NoSpacing"/>
        <w:rPr>
          <w:rFonts w:ascii="Trebuchet MS" w:hAnsi="Trebuchet MS"/>
        </w:rPr>
      </w:pPr>
      <w:r>
        <w:rPr>
          <w:rFonts w:ascii="Trebuchet MS" w:hAnsi="Trebuchet MS"/>
        </w:rPr>
        <w:t>Does the recording mechanism support defensible decision making?</w:t>
      </w:r>
    </w:p>
    <w:p w14:paraId="7CD57FE8" w14:textId="2598EE14" w:rsidR="00770D99" w:rsidRDefault="00770D99" w:rsidP="00770D99">
      <w:pPr>
        <w:pStyle w:val="NoSpacing"/>
        <w:rPr>
          <w:rFonts w:ascii="Trebuchet MS" w:hAnsi="Trebuchet MS"/>
        </w:rPr>
      </w:pPr>
    </w:p>
    <w:p w14:paraId="76F24669" w14:textId="20893F4A" w:rsidR="00770D99" w:rsidRDefault="00770D99" w:rsidP="00770D99">
      <w:pPr>
        <w:pStyle w:val="NoSpacing"/>
        <w:rPr>
          <w:rFonts w:ascii="Trebuchet MS" w:hAnsi="Trebuchet MS"/>
        </w:rPr>
      </w:pPr>
      <w:r>
        <w:rPr>
          <w:rFonts w:ascii="Trebuchet MS" w:hAnsi="Trebuchet MS"/>
        </w:rPr>
        <w:t>Is your PIPOT information held securely?</w:t>
      </w:r>
    </w:p>
    <w:p w14:paraId="1A605614" w14:textId="77777777" w:rsidR="00CA74E6" w:rsidRDefault="00CA74E6" w:rsidP="00CA74E6">
      <w:pPr>
        <w:pStyle w:val="NoSpacing"/>
        <w:rPr>
          <w:rFonts w:ascii="Trebuchet MS" w:hAnsi="Trebuchet MS"/>
        </w:rPr>
      </w:pPr>
    </w:p>
    <w:p w14:paraId="0DD6D330" w14:textId="7A9B65DA" w:rsidR="00CA74E6" w:rsidRDefault="00CA74E6" w:rsidP="00770D99">
      <w:pPr>
        <w:pStyle w:val="NoSpacing"/>
        <w:rPr>
          <w:rFonts w:ascii="Trebuchet MS" w:hAnsi="Trebuchet MS"/>
        </w:rPr>
      </w:pPr>
      <w:r>
        <w:rPr>
          <w:rFonts w:ascii="Trebuchet MS" w:hAnsi="Trebuchet MS"/>
        </w:rPr>
        <w:t>Does your organization include how Adult PIPOT issues have been dealt with in your assurance report to ESAB?</w:t>
      </w:r>
    </w:p>
    <w:p w14:paraId="45DFFE5F" w14:textId="77777777" w:rsidR="00CA74E6" w:rsidRDefault="00CA74E6" w:rsidP="00CA74E6">
      <w:pPr>
        <w:pStyle w:val="NoSpacing"/>
        <w:rPr>
          <w:rFonts w:ascii="Trebuchet MS" w:hAnsi="Trebuchet MS"/>
        </w:rPr>
      </w:pPr>
    </w:p>
    <w:p w14:paraId="26D279D1" w14:textId="58ED8C9B" w:rsidR="00CA74E6" w:rsidRDefault="00CA74E6" w:rsidP="00770D99">
      <w:pPr>
        <w:pStyle w:val="NoSpacing"/>
        <w:rPr>
          <w:rFonts w:ascii="Trebuchet MS" w:hAnsi="Trebuchet MS"/>
        </w:rPr>
      </w:pPr>
      <w:r>
        <w:rPr>
          <w:rFonts w:ascii="Trebuchet MS" w:hAnsi="Trebuchet MS"/>
        </w:rPr>
        <w:t>Does your organization consider that support is offered to a person in an adult PIPOT alleged to have caused harm?</w:t>
      </w:r>
    </w:p>
    <w:p w14:paraId="3945DB97" w14:textId="4805F384" w:rsidR="00CA74E6" w:rsidRDefault="00CA74E6" w:rsidP="00CA74E6">
      <w:pPr>
        <w:pStyle w:val="NoSpacing"/>
        <w:rPr>
          <w:rFonts w:ascii="Trebuchet MS" w:hAnsi="Trebuchet MS"/>
        </w:rPr>
      </w:pPr>
    </w:p>
    <w:p w14:paraId="275BE99E" w14:textId="1CD5C3E4" w:rsidR="00CA74E6" w:rsidRDefault="00CA74E6" w:rsidP="00770D99">
      <w:pPr>
        <w:pStyle w:val="NoSpacing"/>
        <w:rPr>
          <w:rFonts w:ascii="Trebuchet MS" w:hAnsi="Trebuchet MS"/>
        </w:rPr>
      </w:pPr>
      <w:r>
        <w:rPr>
          <w:rFonts w:ascii="Trebuchet MS" w:hAnsi="Trebuchet MS"/>
        </w:rPr>
        <w:t>Has your organization established sources of advice (including here necessary, legal advice)?</w:t>
      </w:r>
    </w:p>
    <w:p w14:paraId="2B621114" w14:textId="0F6DB9A7" w:rsidR="00CA74E6" w:rsidRDefault="00CA74E6" w:rsidP="00CA74E6">
      <w:pPr>
        <w:pStyle w:val="NoSpacing"/>
        <w:rPr>
          <w:rFonts w:ascii="Trebuchet MS" w:hAnsi="Trebuchet MS"/>
        </w:rPr>
      </w:pPr>
    </w:p>
    <w:p w14:paraId="0FA7C4DE" w14:textId="77777777" w:rsidR="005B36F8" w:rsidRPr="00643CBE" w:rsidRDefault="005B36F8" w:rsidP="00CA74E6">
      <w:pPr>
        <w:pStyle w:val="NoSpacing"/>
        <w:rPr>
          <w:rFonts w:ascii="Trebuchet MS" w:hAnsi="Trebuchet MS"/>
          <w:b/>
          <w:sz w:val="28"/>
          <w:szCs w:val="28"/>
        </w:rPr>
      </w:pPr>
      <w:r w:rsidRPr="00643CBE">
        <w:rPr>
          <w:rFonts w:ascii="Trebuchet MS" w:hAnsi="Trebuchet MS"/>
          <w:b/>
          <w:sz w:val="28"/>
          <w:szCs w:val="28"/>
        </w:rPr>
        <w:lastRenderedPageBreak/>
        <w:t>11. Information Sharing Guidance for Practitioners and Managers when there is public interest:</w:t>
      </w:r>
    </w:p>
    <w:p w14:paraId="2F244342" w14:textId="77777777" w:rsidR="005B36F8" w:rsidRPr="00804384" w:rsidRDefault="005B36F8" w:rsidP="00CA74E6">
      <w:pPr>
        <w:pStyle w:val="NoSpacing"/>
        <w:rPr>
          <w:rFonts w:ascii="Trebuchet MS" w:hAnsi="Trebuchet MS"/>
        </w:rPr>
      </w:pPr>
    </w:p>
    <w:p w14:paraId="7C1DF20D" w14:textId="29EA0BE6" w:rsidR="005B36F8" w:rsidRPr="00804384" w:rsidRDefault="005B36F8" w:rsidP="003451B1">
      <w:pPr>
        <w:pStyle w:val="Default"/>
        <w:numPr>
          <w:ilvl w:val="1"/>
          <w:numId w:val="30"/>
        </w:numPr>
        <w:rPr>
          <w:rFonts w:ascii="Trebuchet MS" w:hAnsi="Trebuchet MS"/>
          <w:sz w:val="22"/>
          <w:szCs w:val="22"/>
        </w:rPr>
      </w:pPr>
      <w:r w:rsidRPr="00804384">
        <w:rPr>
          <w:rFonts w:ascii="Trebuchet MS" w:hAnsi="Trebuchet MS"/>
          <w:sz w:val="22"/>
          <w:szCs w:val="22"/>
        </w:rPr>
        <w:t xml:space="preserve">Even where you do not have consent to share confidential information, you may lawfully share it </w:t>
      </w:r>
      <w:r w:rsidR="00C555AA">
        <w:rPr>
          <w:rFonts w:ascii="Trebuchet MS" w:hAnsi="Trebuchet MS"/>
          <w:sz w:val="22"/>
          <w:szCs w:val="22"/>
        </w:rPr>
        <w:t>in</w:t>
      </w:r>
      <w:r w:rsidRPr="00804384">
        <w:rPr>
          <w:rFonts w:ascii="Trebuchet MS" w:hAnsi="Trebuchet MS"/>
          <w:sz w:val="22"/>
          <w:szCs w:val="22"/>
        </w:rPr>
        <w:t xml:space="preserve"> the public interest. Seeking consent should be the first option. However, where consent cannot be obtained or is refused, or where seeking it is inappropriate or unsafe, the question of whether there </w:t>
      </w:r>
      <w:r w:rsidR="005C724D" w:rsidRPr="00804384">
        <w:rPr>
          <w:rFonts w:ascii="Trebuchet MS" w:hAnsi="Trebuchet MS"/>
          <w:sz w:val="22"/>
          <w:szCs w:val="22"/>
        </w:rPr>
        <w:t>is enough</w:t>
      </w:r>
      <w:r w:rsidRPr="00804384">
        <w:rPr>
          <w:rFonts w:ascii="Trebuchet MS" w:hAnsi="Trebuchet MS"/>
          <w:sz w:val="22"/>
          <w:szCs w:val="22"/>
        </w:rPr>
        <w:t xml:space="preserve"> public interest must be judged by the practitioner on the facts of each case. Therefore, where you have a concern about a person, you should not regard refusal of consent as necessarily precluding the sharing of confidential information. </w:t>
      </w:r>
    </w:p>
    <w:p w14:paraId="606D00F7" w14:textId="77777777" w:rsidR="005B36F8" w:rsidRPr="00804384" w:rsidRDefault="005B36F8" w:rsidP="005B36F8">
      <w:pPr>
        <w:pStyle w:val="Default"/>
        <w:rPr>
          <w:rFonts w:ascii="Trebuchet MS" w:hAnsi="Trebuchet MS"/>
          <w:sz w:val="22"/>
          <w:szCs w:val="22"/>
        </w:rPr>
      </w:pPr>
    </w:p>
    <w:p w14:paraId="23DBD908" w14:textId="3B59B1B7" w:rsidR="005B36F8" w:rsidRPr="00804384" w:rsidRDefault="00804384" w:rsidP="003451B1">
      <w:pPr>
        <w:pStyle w:val="Default"/>
        <w:numPr>
          <w:ilvl w:val="1"/>
          <w:numId w:val="30"/>
        </w:numPr>
        <w:rPr>
          <w:rFonts w:ascii="Trebuchet MS" w:hAnsi="Trebuchet MS"/>
          <w:sz w:val="22"/>
          <w:szCs w:val="22"/>
        </w:rPr>
      </w:pPr>
      <w:r w:rsidRPr="00804384">
        <w:rPr>
          <w:rFonts w:ascii="Trebuchet MS" w:hAnsi="Trebuchet MS"/>
          <w:sz w:val="22"/>
          <w:szCs w:val="22"/>
        </w:rPr>
        <w:t>A</w:t>
      </w:r>
      <w:r w:rsidR="005B36F8" w:rsidRPr="00804384">
        <w:rPr>
          <w:rFonts w:ascii="Trebuchet MS" w:hAnsi="Trebuchet MS"/>
          <w:sz w:val="22"/>
          <w:szCs w:val="22"/>
        </w:rPr>
        <w:t xml:space="preserve"> public interest can arise in a wide range of circumstances, for example, to protect children from significant harm, protect adults from serious harm, promote the welfare of children or prevent crime and disorder. There are also public interests, which in some circumstances may weigh against sharing, including the public interest in maintaining public confidence in the confidentiality of certain services. </w:t>
      </w:r>
    </w:p>
    <w:p w14:paraId="559445F9" w14:textId="77777777" w:rsidR="005B36F8" w:rsidRPr="00804384" w:rsidRDefault="005B36F8" w:rsidP="005B36F8">
      <w:pPr>
        <w:pStyle w:val="NoSpacing"/>
        <w:rPr>
          <w:rFonts w:ascii="Trebuchet MS" w:hAnsi="Trebuchet MS"/>
        </w:rPr>
      </w:pPr>
    </w:p>
    <w:p w14:paraId="419F72FC" w14:textId="77777777" w:rsidR="003451B1" w:rsidRDefault="005B36F8" w:rsidP="003451B1">
      <w:pPr>
        <w:pStyle w:val="NoSpacing"/>
        <w:numPr>
          <w:ilvl w:val="1"/>
          <w:numId w:val="30"/>
        </w:numPr>
        <w:rPr>
          <w:rFonts w:ascii="Trebuchet MS" w:hAnsi="Trebuchet MS"/>
        </w:rPr>
      </w:pPr>
      <w:r w:rsidRPr="00804384">
        <w:rPr>
          <w:rFonts w:ascii="Trebuchet MS" w:hAnsi="Trebuchet MS"/>
        </w:rPr>
        <w:t xml:space="preserve">The key factors in deciding </w:t>
      </w:r>
      <w:r w:rsidR="00804384" w:rsidRPr="00804384">
        <w:rPr>
          <w:rFonts w:ascii="Trebuchet MS" w:hAnsi="Trebuchet MS"/>
        </w:rPr>
        <w:t>whether</w:t>
      </w:r>
      <w:r w:rsidRPr="00804384">
        <w:rPr>
          <w:rFonts w:ascii="Trebuchet MS" w:hAnsi="Trebuchet MS"/>
        </w:rPr>
        <w:t xml:space="preserve"> to share confidential information are necessity and proportionality, i.e. whether the proposed sharing is likely to make an effective contribution to preventing the risk and whether the public interest in sharing information overrides the interest in maintaining confidentiality. In making the decision you must weigh up what might happen if the information is shared against what might happen if it is not and </w:t>
      </w:r>
      <w:r w:rsidR="00804384" w:rsidRPr="00804384">
        <w:rPr>
          <w:rFonts w:ascii="Trebuchet MS" w:hAnsi="Trebuchet MS"/>
        </w:rPr>
        <w:t>decide</w:t>
      </w:r>
      <w:r w:rsidRPr="00804384">
        <w:rPr>
          <w:rFonts w:ascii="Trebuchet MS" w:hAnsi="Trebuchet MS"/>
        </w:rPr>
        <w:t xml:space="preserve"> based on professional judgement. The nature of the information to be shared is a factor in this decision making, particularly if it is sensitive information where the implications of sharing may be especially significant for the individual or for their relationship with the practitioner and the service</w:t>
      </w:r>
      <w:r w:rsidR="003451B1">
        <w:rPr>
          <w:rFonts w:ascii="Trebuchet MS" w:hAnsi="Trebuchet MS"/>
        </w:rPr>
        <w:t>.</w:t>
      </w:r>
    </w:p>
    <w:p w14:paraId="1D0B0D3C" w14:textId="77777777" w:rsidR="003451B1" w:rsidRDefault="003451B1" w:rsidP="003451B1">
      <w:pPr>
        <w:pStyle w:val="ListParagraph"/>
        <w:rPr>
          <w:rFonts w:ascii="Trebuchet MS" w:hAnsi="Trebuchet MS"/>
        </w:rPr>
      </w:pPr>
    </w:p>
    <w:p w14:paraId="7F77EA6B" w14:textId="0B231E1F" w:rsidR="005B36F8" w:rsidRDefault="003451B1" w:rsidP="003451B1">
      <w:pPr>
        <w:pStyle w:val="NoSpacing"/>
        <w:numPr>
          <w:ilvl w:val="1"/>
          <w:numId w:val="30"/>
        </w:numPr>
        <w:rPr>
          <w:rFonts w:ascii="Trebuchet MS" w:hAnsi="Trebuchet MS"/>
        </w:rPr>
      </w:pPr>
      <w:r>
        <w:rPr>
          <w:rFonts w:ascii="Trebuchet MS" w:hAnsi="Trebuchet MS"/>
        </w:rPr>
        <w:t xml:space="preserve">The Safeguarding Vulnerable Adults Act (2006) places, in Section 5, a further duty on those who provide regulated activities to refer to the Disclosure and Barring Service (DBS) if they have dismissed or removed an employee or volunteer from their role due to a belief that they have harmed, or pose a risk to, an adult with care and support needs or child. This </w:t>
      </w:r>
      <w:r w:rsidR="001A0D19">
        <w:rPr>
          <w:rFonts w:ascii="Trebuchet MS" w:hAnsi="Trebuchet MS"/>
        </w:rPr>
        <w:t>still applies if the individual has left their job and is regardless of whether they have been convicted of a related crime. The DBS would then undertake their own screening and investigation to reach a decision. Agencies should keep all relevant information so it is available upon request by the DBS.</w:t>
      </w:r>
    </w:p>
    <w:p w14:paraId="141309BF" w14:textId="77777777" w:rsidR="001A0D19" w:rsidRDefault="001A0D19" w:rsidP="001A0D19">
      <w:pPr>
        <w:pStyle w:val="ListParagraph"/>
        <w:rPr>
          <w:rFonts w:ascii="Trebuchet MS" w:hAnsi="Trebuchet MS"/>
        </w:rPr>
      </w:pPr>
    </w:p>
    <w:p w14:paraId="5D47519E" w14:textId="6BFC0525" w:rsidR="001A0D19" w:rsidRDefault="001A0D19" w:rsidP="003451B1">
      <w:pPr>
        <w:pStyle w:val="NoSpacing"/>
        <w:numPr>
          <w:ilvl w:val="1"/>
          <w:numId w:val="30"/>
        </w:numPr>
        <w:rPr>
          <w:rFonts w:ascii="Trebuchet MS" w:hAnsi="Trebuchet MS"/>
        </w:rPr>
      </w:pPr>
      <w:r>
        <w:rPr>
          <w:rFonts w:ascii="Trebuchet MS" w:hAnsi="Trebuchet MS"/>
        </w:rPr>
        <w:t>The Police may disclose to an employer when this is deemed relevant to protect members of the public. Police will look at the ‘</w:t>
      </w:r>
      <w:hyperlink r:id="rId15" w:history="1">
        <w:r w:rsidRPr="001A0D19">
          <w:rPr>
            <w:rStyle w:val="Hyperlink"/>
            <w:rFonts w:ascii="Trebuchet MS" w:hAnsi="Trebuchet MS"/>
          </w:rPr>
          <w:t xml:space="preserve">Common </w:t>
        </w:r>
        <w:r w:rsidRPr="004F3B3F">
          <w:rPr>
            <w:rStyle w:val="Hyperlink"/>
            <w:rFonts w:ascii="Trebuchet MS" w:hAnsi="Trebuchet MS"/>
            <w:i/>
            <w:iCs/>
          </w:rPr>
          <w:t>La</w:t>
        </w:r>
        <w:r w:rsidRPr="004F3B3F">
          <w:rPr>
            <w:rStyle w:val="Hyperlink"/>
            <w:rFonts w:ascii="Trebuchet MS" w:hAnsi="Trebuchet MS"/>
            <w:i/>
            <w:iCs/>
          </w:rPr>
          <w:t>w</w:t>
        </w:r>
        <w:r w:rsidRPr="001A0D19">
          <w:rPr>
            <w:rStyle w:val="Hyperlink"/>
            <w:rFonts w:ascii="Trebuchet MS" w:hAnsi="Trebuchet MS"/>
          </w:rPr>
          <w:t xml:space="preserve"> Police Disclosure’</w:t>
        </w:r>
      </w:hyperlink>
      <w:r>
        <w:rPr>
          <w:rFonts w:ascii="Trebuchet MS" w:hAnsi="Trebuchet MS"/>
        </w:rPr>
        <w:t xml:space="preserve"> guidance available via the College of Policing</w:t>
      </w:r>
      <w:r w:rsidR="00B66330">
        <w:rPr>
          <w:rFonts w:ascii="Trebuchet MS" w:hAnsi="Trebuchet MS"/>
        </w:rPr>
        <w:t xml:space="preserve"> to determine what is appropriate – this replaces the Notifiable Occupations Scheme. Local information sharing agreements (such as that signed through the Enfield Safeguarding Adults Board for partners of that Board) will also allow for information sharing between </w:t>
      </w:r>
      <w:proofErr w:type="spellStart"/>
      <w:r w:rsidR="00B66330">
        <w:rPr>
          <w:rFonts w:ascii="Trebuchet MS" w:hAnsi="Trebuchet MS"/>
        </w:rPr>
        <w:t>organisations</w:t>
      </w:r>
      <w:proofErr w:type="spellEnd"/>
      <w:r w:rsidR="00B66330">
        <w:rPr>
          <w:rFonts w:ascii="Trebuchet MS" w:hAnsi="Trebuchet MS"/>
        </w:rPr>
        <w:t xml:space="preserve">. The Police do have limited powers under the Crime and Disorder Act (1998) to share information for the purposes of crime reduction – however, the Police are under no obligation to share information with an employer (particularly if no crime has been committed or alleged). </w:t>
      </w:r>
    </w:p>
    <w:p w14:paraId="707FEC2E" w14:textId="77777777" w:rsidR="00D0144D" w:rsidRDefault="00D0144D" w:rsidP="00D0144D">
      <w:pPr>
        <w:pStyle w:val="ListParagraph"/>
        <w:rPr>
          <w:rFonts w:ascii="Trebuchet MS" w:hAnsi="Trebuchet MS"/>
        </w:rPr>
      </w:pPr>
    </w:p>
    <w:p w14:paraId="115477AD" w14:textId="546A20D0" w:rsidR="00D0144D" w:rsidRDefault="00D0144D" w:rsidP="003451B1">
      <w:pPr>
        <w:pStyle w:val="NoSpacing"/>
        <w:numPr>
          <w:ilvl w:val="1"/>
          <w:numId w:val="30"/>
        </w:numPr>
        <w:rPr>
          <w:rFonts w:ascii="Trebuchet MS" w:hAnsi="Trebuchet MS"/>
        </w:rPr>
      </w:pPr>
      <w:r>
        <w:rPr>
          <w:rFonts w:ascii="Trebuchet MS" w:hAnsi="Trebuchet MS"/>
        </w:rPr>
        <w:t xml:space="preserve">If a disclosure is made then the referring partner should make it clear when a response is expected (typically acknowledgement of disclosure within 24 hours and formal response within 2 weeks). If no response is received within the required </w:t>
      </w:r>
      <w:r>
        <w:rPr>
          <w:rFonts w:ascii="Trebuchet MS" w:hAnsi="Trebuchet MS"/>
        </w:rPr>
        <w:lastRenderedPageBreak/>
        <w:t xml:space="preserve">timeframes then a chasing correspondence should be sent (primarily to check information was received). </w:t>
      </w:r>
    </w:p>
    <w:p w14:paraId="05BC7BB8" w14:textId="77777777" w:rsidR="00D0144D" w:rsidRDefault="00D0144D" w:rsidP="00D0144D">
      <w:pPr>
        <w:pStyle w:val="ListParagraph"/>
        <w:rPr>
          <w:rFonts w:ascii="Trebuchet MS" w:hAnsi="Trebuchet MS"/>
        </w:rPr>
      </w:pPr>
    </w:p>
    <w:p w14:paraId="0679B25E" w14:textId="1879BACD" w:rsidR="00D0144D" w:rsidRPr="00804384" w:rsidRDefault="00D0144D" w:rsidP="003451B1">
      <w:pPr>
        <w:pStyle w:val="NoSpacing"/>
        <w:numPr>
          <w:ilvl w:val="1"/>
          <w:numId w:val="30"/>
        </w:numPr>
        <w:rPr>
          <w:rFonts w:ascii="Trebuchet MS" w:hAnsi="Trebuchet MS"/>
        </w:rPr>
      </w:pPr>
      <w:r>
        <w:rPr>
          <w:rFonts w:ascii="Trebuchet MS" w:hAnsi="Trebuchet MS"/>
        </w:rPr>
        <w:t xml:space="preserve">If the employer or registering body gives a response which is felt to leave adults at risk in danger then there should be consideration of engaging other processes – such as a referral to their own registering body (e.g. CQC) or a Section 42 Enquiry around Institutional Abuse. </w:t>
      </w:r>
    </w:p>
    <w:p w14:paraId="4D928BFF" w14:textId="5DF57DB3" w:rsidR="005B36F8" w:rsidRDefault="005B36F8" w:rsidP="00CA74E6">
      <w:pPr>
        <w:pStyle w:val="NoSpacing"/>
        <w:rPr>
          <w:rFonts w:ascii="Trebuchet MS" w:hAnsi="Trebuchet MS"/>
        </w:rPr>
      </w:pPr>
    </w:p>
    <w:p w14:paraId="2DE41A5D" w14:textId="22D42F90" w:rsidR="009D6D24" w:rsidRDefault="009D6D24" w:rsidP="00CA74E6">
      <w:pPr>
        <w:pStyle w:val="NoSpacing"/>
        <w:rPr>
          <w:rFonts w:ascii="Trebuchet MS" w:hAnsi="Trebuchet MS"/>
        </w:rPr>
      </w:pPr>
    </w:p>
    <w:p w14:paraId="41316F9E" w14:textId="4FF46424" w:rsidR="009D6D24" w:rsidRDefault="009D6D24" w:rsidP="00CA74E6">
      <w:pPr>
        <w:pStyle w:val="NoSpacing"/>
        <w:rPr>
          <w:rFonts w:ascii="Trebuchet MS" w:hAnsi="Trebuchet MS"/>
        </w:rPr>
      </w:pPr>
      <w:r>
        <w:rPr>
          <w:rFonts w:ascii="Trebuchet MS" w:hAnsi="Trebuchet MS"/>
        </w:rPr>
        <w:t xml:space="preserve">Links to key </w:t>
      </w:r>
      <w:proofErr w:type="spellStart"/>
      <w:r>
        <w:rPr>
          <w:rFonts w:ascii="Trebuchet MS" w:hAnsi="Trebuchet MS"/>
        </w:rPr>
        <w:t>organisations</w:t>
      </w:r>
      <w:proofErr w:type="spellEnd"/>
      <w:r>
        <w:rPr>
          <w:rFonts w:ascii="Trebuchet MS" w:hAnsi="Trebuchet MS"/>
        </w:rPr>
        <w:t xml:space="preserve"> which may need to be referred to:</w:t>
      </w:r>
    </w:p>
    <w:p w14:paraId="6DB291DE" w14:textId="77777777" w:rsidR="009D6D24" w:rsidRPr="00770D99" w:rsidRDefault="009D6D24" w:rsidP="00CA74E6">
      <w:pPr>
        <w:pStyle w:val="NoSpacing"/>
        <w:rPr>
          <w:rFonts w:ascii="Arial" w:hAnsi="Arial" w:cs="Arial"/>
        </w:rPr>
      </w:pPr>
    </w:p>
    <w:p w14:paraId="45A5CFF5" w14:textId="5AB5508B" w:rsidR="009D6D24" w:rsidRPr="00770D99" w:rsidRDefault="00000000" w:rsidP="009D6D24">
      <w:pPr>
        <w:pStyle w:val="NoSpacing"/>
        <w:numPr>
          <w:ilvl w:val="0"/>
          <w:numId w:val="36"/>
        </w:numPr>
        <w:rPr>
          <w:rFonts w:ascii="Arial" w:hAnsi="Arial" w:cs="Arial"/>
        </w:rPr>
      </w:pPr>
      <w:hyperlink r:id="rId16" w:history="1">
        <w:r w:rsidR="009D6D24" w:rsidRPr="00770D99">
          <w:rPr>
            <w:rStyle w:val="Hyperlink"/>
            <w:rFonts w:ascii="Arial" w:hAnsi="Arial" w:cs="Arial"/>
          </w:rPr>
          <w:t>Disclosure and Barring Service</w:t>
        </w:r>
      </w:hyperlink>
      <w:r w:rsidR="009D6D24" w:rsidRPr="00770D99">
        <w:rPr>
          <w:rFonts w:ascii="Arial" w:hAnsi="Arial" w:cs="Arial"/>
        </w:rPr>
        <w:t xml:space="preserve"> </w:t>
      </w:r>
    </w:p>
    <w:p w14:paraId="78DFC5D3" w14:textId="77777777" w:rsidR="009D6D24" w:rsidRPr="00770D99" w:rsidRDefault="009D6D24" w:rsidP="009D6D24">
      <w:pPr>
        <w:pStyle w:val="NoSpacing"/>
        <w:ind w:left="720"/>
        <w:rPr>
          <w:rFonts w:ascii="Arial" w:hAnsi="Arial" w:cs="Arial"/>
        </w:rPr>
      </w:pPr>
    </w:p>
    <w:p w14:paraId="0527D4B5" w14:textId="3BB52DFB" w:rsidR="009D6D24" w:rsidRPr="00770D99" w:rsidRDefault="00000000" w:rsidP="009D6D24">
      <w:pPr>
        <w:pStyle w:val="NoSpacing"/>
        <w:numPr>
          <w:ilvl w:val="0"/>
          <w:numId w:val="36"/>
        </w:numPr>
        <w:rPr>
          <w:rFonts w:ascii="Arial" w:hAnsi="Arial" w:cs="Arial"/>
        </w:rPr>
      </w:pPr>
      <w:hyperlink r:id="rId17" w:history="1">
        <w:r w:rsidR="009D6D24" w:rsidRPr="00770D99">
          <w:rPr>
            <w:rStyle w:val="Hyperlink"/>
            <w:rFonts w:ascii="Arial" w:hAnsi="Arial" w:cs="Arial"/>
          </w:rPr>
          <w:t>Health and Care Professionals Council</w:t>
        </w:r>
      </w:hyperlink>
      <w:r w:rsidR="009D6D24" w:rsidRPr="00770D99">
        <w:rPr>
          <w:rFonts w:ascii="Arial" w:hAnsi="Arial" w:cs="Arial"/>
        </w:rPr>
        <w:t xml:space="preserve"> </w:t>
      </w:r>
    </w:p>
    <w:p w14:paraId="30B1D99D" w14:textId="77777777" w:rsidR="009D6D24" w:rsidRPr="00770D99" w:rsidRDefault="009D6D24" w:rsidP="009D6D24">
      <w:pPr>
        <w:pStyle w:val="NoSpacing"/>
        <w:rPr>
          <w:rFonts w:ascii="Arial" w:hAnsi="Arial" w:cs="Arial"/>
        </w:rPr>
      </w:pPr>
    </w:p>
    <w:p w14:paraId="174515AD" w14:textId="34E405C1" w:rsidR="009D6D24" w:rsidRPr="00770D99" w:rsidRDefault="00000000" w:rsidP="009D6D24">
      <w:pPr>
        <w:pStyle w:val="NoSpacing"/>
        <w:numPr>
          <w:ilvl w:val="0"/>
          <w:numId w:val="36"/>
        </w:numPr>
        <w:rPr>
          <w:rFonts w:ascii="Arial" w:hAnsi="Arial" w:cs="Arial"/>
        </w:rPr>
      </w:pPr>
      <w:hyperlink r:id="rId18" w:history="1">
        <w:r w:rsidR="009D6D24" w:rsidRPr="00770D99">
          <w:rPr>
            <w:rStyle w:val="Hyperlink"/>
            <w:rFonts w:ascii="Arial" w:hAnsi="Arial" w:cs="Arial"/>
          </w:rPr>
          <w:t>Nursing and Midwifery Council</w:t>
        </w:r>
      </w:hyperlink>
      <w:r w:rsidR="009D6D24" w:rsidRPr="00770D99">
        <w:rPr>
          <w:rFonts w:ascii="Arial" w:hAnsi="Arial" w:cs="Arial"/>
        </w:rPr>
        <w:t xml:space="preserve"> </w:t>
      </w:r>
    </w:p>
    <w:p w14:paraId="2ABD95AE" w14:textId="77777777" w:rsidR="009D6D24" w:rsidRPr="00770D99" w:rsidRDefault="009D6D24" w:rsidP="009D6D24">
      <w:pPr>
        <w:pStyle w:val="NoSpacing"/>
        <w:rPr>
          <w:rFonts w:ascii="Arial" w:hAnsi="Arial" w:cs="Arial"/>
        </w:rPr>
      </w:pPr>
    </w:p>
    <w:p w14:paraId="7FAEDADD" w14:textId="6E812E4F" w:rsidR="009D6D24" w:rsidRPr="00770D99" w:rsidRDefault="00000000" w:rsidP="009D6D24">
      <w:pPr>
        <w:pStyle w:val="NoSpacing"/>
        <w:numPr>
          <w:ilvl w:val="0"/>
          <w:numId w:val="36"/>
        </w:numPr>
        <w:rPr>
          <w:rFonts w:ascii="Arial" w:hAnsi="Arial" w:cs="Arial"/>
        </w:rPr>
      </w:pPr>
      <w:hyperlink r:id="rId19" w:history="1">
        <w:r w:rsidR="009D6D24" w:rsidRPr="00770D99">
          <w:rPr>
            <w:rStyle w:val="Hyperlink"/>
            <w:rFonts w:ascii="Arial" w:hAnsi="Arial" w:cs="Arial"/>
          </w:rPr>
          <w:t>General Medical Council</w:t>
        </w:r>
      </w:hyperlink>
      <w:r w:rsidR="009D6D24" w:rsidRPr="00770D99">
        <w:rPr>
          <w:rFonts w:ascii="Arial" w:hAnsi="Arial" w:cs="Arial"/>
        </w:rPr>
        <w:t xml:space="preserve"> </w:t>
      </w:r>
    </w:p>
    <w:p w14:paraId="01A98D37" w14:textId="77777777" w:rsidR="009D6D24" w:rsidRPr="00770D99" w:rsidRDefault="009D6D24" w:rsidP="009D6D24">
      <w:pPr>
        <w:pStyle w:val="NoSpacing"/>
        <w:rPr>
          <w:rFonts w:ascii="Arial" w:hAnsi="Arial" w:cs="Arial"/>
        </w:rPr>
      </w:pPr>
    </w:p>
    <w:p w14:paraId="31B7F764" w14:textId="609B19D2" w:rsidR="009D6D24" w:rsidRPr="00770D99" w:rsidRDefault="00000000" w:rsidP="009D6D24">
      <w:pPr>
        <w:pStyle w:val="NoSpacing"/>
        <w:numPr>
          <w:ilvl w:val="0"/>
          <w:numId w:val="36"/>
        </w:numPr>
        <w:rPr>
          <w:rFonts w:ascii="Arial" w:hAnsi="Arial" w:cs="Arial"/>
        </w:rPr>
      </w:pPr>
      <w:hyperlink r:id="rId20" w:history="1">
        <w:r w:rsidR="009D6D24" w:rsidRPr="00770D99">
          <w:rPr>
            <w:rStyle w:val="Hyperlink"/>
            <w:rFonts w:ascii="Arial" w:hAnsi="Arial" w:cs="Arial"/>
          </w:rPr>
          <w:t>General Dental Council</w:t>
        </w:r>
      </w:hyperlink>
    </w:p>
    <w:p w14:paraId="393A78E3" w14:textId="77777777" w:rsidR="009D6D24" w:rsidRPr="00770D99" w:rsidRDefault="009D6D24" w:rsidP="009D6D24">
      <w:pPr>
        <w:pStyle w:val="NoSpacing"/>
        <w:rPr>
          <w:rFonts w:ascii="Arial" w:hAnsi="Arial" w:cs="Arial"/>
        </w:rPr>
      </w:pPr>
    </w:p>
    <w:p w14:paraId="00A4191E" w14:textId="7F5C8AB5" w:rsidR="009D6D24" w:rsidRPr="00770D99" w:rsidRDefault="00000000" w:rsidP="009D6D24">
      <w:pPr>
        <w:pStyle w:val="NoSpacing"/>
        <w:numPr>
          <w:ilvl w:val="0"/>
          <w:numId w:val="36"/>
        </w:numPr>
        <w:rPr>
          <w:rFonts w:ascii="Arial" w:hAnsi="Arial" w:cs="Arial"/>
        </w:rPr>
      </w:pPr>
      <w:hyperlink r:id="rId21" w:history="1">
        <w:r w:rsidR="009D6D24" w:rsidRPr="00770D99">
          <w:rPr>
            <w:rStyle w:val="Hyperlink"/>
            <w:rFonts w:ascii="Arial" w:hAnsi="Arial" w:cs="Arial"/>
          </w:rPr>
          <w:t>UK Council for Psychotherapists.</w:t>
        </w:r>
      </w:hyperlink>
      <w:r w:rsidR="009D6D24" w:rsidRPr="00770D99">
        <w:rPr>
          <w:rFonts w:ascii="Arial" w:hAnsi="Arial" w:cs="Arial"/>
        </w:rPr>
        <w:t xml:space="preserve"> </w:t>
      </w:r>
    </w:p>
    <w:p w14:paraId="1C4238E4" w14:textId="77777777" w:rsidR="009D6D24" w:rsidRPr="00770D99" w:rsidRDefault="009D6D24" w:rsidP="009D6D24">
      <w:pPr>
        <w:pStyle w:val="NoSpacing"/>
        <w:rPr>
          <w:rFonts w:ascii="Arial" w:hAnsi="Arial" w:cs="Arial"/>
        </w:rPr>
      </w:pPr>
    </w:p>
    <w:p w14:paraId="16D19093" w14:textId="145463DF" w:rsidR="009D6D24" w:rsidRPr="00770D99" w:rsidRDefault="00000000" w:rsidP="009D6D24">
      <w:pPr>
        <w:pStyle w:val="NoSpacing"/>
        <w:numPr>
          <w:ilvl w:val="0"/>
          <w:numId w:val="36"/>
        </w:numPr>
        <w:rPr>
          <w:rFonts w:ascii="Arial" w:hAnsi="Arial" w:cs="Arial"/>
        </w:rPr>
      </w:pPr>
      <w:hyperlink r:id="rId22" w:history="1">
        <w:r w:rsidR="009D6D24" w:rsidRPr="00770D99">
          <w:rPr>
            <w:rStyle w:val="Hyperlink"/>
            <w:rFonts w:ascii="Arial" w:hAnsi="Arial" w:cs="Arial"/>
          </w:rPr>
          <w:t>The Care Quality Commission.</w:t>
        </w:r>
      </w:hyperlink>
      <w:r w:rsidR="009D6D24" w:rsidRPr="00770D99">
        <w:rPr>
          <w:rFonts w:ascii="Arial" w:hAnsi="Arial" w:cs="Arial"/>
        </w:rPr>
        <w:t xml:space="preserve"> </w:t>
      </w:r>
    </w:p>
    <w:p w14:paraId="1A408C58" w14:textId="4E5601FC" w:rsidR="009D6D24" w:rsidRDefault="009D6D24" w:rsidP="009D6D24">
      <w:pPr>
        <w:autoSpaceDE w:val="0"/>
        <w:autoSpaceDN w:val="0"/>
        <w:adjustRightInd w:val="0"/>
        <w:spacing w:after="200" w:line="240" w:lineRule="auto"/>
        <w:ind w:left="720" w:hanging="360"/>
        <w:rPr>
          <w:rFonts w:ascii="Arial" w:hAnsi="Arial" w:cs="Arial"/>
          <w:color w:val="000000"/>
        </w:rPr>
      </w:pPr>
    </w:p>
    <w:p w14:paraId="5496F00B" w14:textId="58433BA8" w:rsidR="00DF0BC1" w:rsidRPr="009D6D24" w:rsidRDefault="00DF0BC1" w:rsidP="009D6D24">
      <w:pPr>
        <w:autoSpaceDE w:val="0"/>
        <w:autoSpaceDN w:val="0"/>
        <w:adjustRightInd w:val="0"/>
        <w:spacing w:after="200" w:line="240" w:lineRule="auto"/>
        <w:ind w:left="720" w:hanging="360"/>
        <w:rPr>
          <w:rFonts w:ascii="Arial" w:hAnsi="Arial" w:cs="Arial"/>
          <w:color w:val="000000"/>
        </w:rPr>
      </w:pPr>
      <w:r>
        <w:rPr>
          <w:rFonts w:ascii="Arial" w:hAnsi="Arial" w:cs="Arial"/>
          <w:color w:val="000000"/>
        </w:rPr>
        <w:t xml:space="preserve">To make a referral to (or request advice from) the London Borough of Enfield’s PIPOT lead please e-mail </w:t>
      </w:r>
      <w:hyperlink r:id="rId23" w:history="1">
        <w:r w:rsidRPr="009812EB">
          <w:rPr>
            <w:rStyle w:val="Hyperlink"/>
            <w:rFonts w:ascii="Arial" w:hAnsi="Arial" w:cs="Arial"/>
          </w:rPr>
          <w:t>safeguardingadults@enfield.gov.uk</w:t>
        </w:r>
      </w:hyperlink>
      <w:r>
        <w:rPr>
          <w:rFonts w:ascii="Arial" w:hAnsi="Arial" w:cs="Arial"/>
          <w:color w:val="000000"/>
        </w:rPr>
        <w:t xml:space="preserve">. </w:t>
      </w:r>
    </w:p>
    <w:p w14:paraId="7C437F48" w14:textId="7BB1718F" w:rsidR="00D0144D" w:rsidRPr="00804384" w:rsidRDefault="00D0144D" w:rsidP="00CA74E6">
      <w:pPr>
        <w:pStyle w:val="NoSpacing"/>
        <w:rPr>
          <w:rFonts w:ascii="Trebuchet MS" w:hAnsi="Trebuchet MS"/>
        </w:rPr>
      </w:pPr>
    </w:p>
    <w:p w14:paraId="0DBEB5CF" w14:textId="67353760" w:rsidR="00BE6D4A" w:rsidRPr="00E74E4D" w:rsidRDefault="00E37D52" w:rsidP="00E37D52">
      <w:pPr>
        <w:pStyle w:val="NoSpacing"/>
        <w:rPr>
          <w:rFonts w:ascii="Arial" w:hAnsi="Arial" w:cs="Arial"/>
          <w:b/>
          <w:u w:val="single"/>
        </w:rPr>
      </w:pPr>
      <w:r w:rsidRPr="00E74E4D">
        <w:rPr>
          <w:rFonts w:ascii="Arial" w:hAnsi="Arial" w:cs="Arial"/>
          <w:b/>
          <w:u w:val="single"/>
        </w:rPr>
        <w:t>12</w:t>
      </w:r>
      <w:r w:rsidR="00DC29F5" w:rsidRPr="00E74E4D">
        <w:rPr>
          <w:rFonts w:ascii="Arial" w:hAnsi="Arial" w:cs="Arial"/>
          <w:b/>
          <w:u w:val="single"/>
        </w:rPr>
        <w:t xml:space="preserve">: </w:t>
      </w:r>
      <w:r w:rsidR="00E74E4D">
        <w:rPr>
          <w:rFonts w:ascii="Arial" w:hAnsi="Arial" w:cs="Arial"/>
          <w:b/>
          <w:u w:val="single"/>
        </w:rPr>
        <w:t xml:space="preserve">      </w:t>
      </w:r>
      <w:r w:rsidR="007D2149" w:rsidRPr="00E74E4D">
        <w:rPr>
          <w:rFonts w:ascii="Arial" w:hAnsi="Arial" w:cs="Arial"/>
          <w:b/>
          <w:u w:val="single"/>
        </w:rPr>
        <w:t>A</w:t>
      </w:r>
      <w:r w:rsidR="00E74E4D" w:rsidRPr="00E74E4D">
        <w:rPr>
          <w:rFonts w:ascii="Arial" w:hAnsi="Arial" w:cs="Arial"/>
          <w:b/>
          <w:u w:val="single"/>
        </w:rPr>
        <w:t xml:space="preserve">ppendixes </w:t>
      </w:r>
      <w:r w:rsidR="000951A5" w:rsidRPr="00E74E4D">
        <w:rPr>
          <w:rFonts w:ascii="Arial" w:hAnsi="Arial" w:cs="Arial"/>
          <w:b/>
          <w:u w:val="single"/>
        </w:rPr>
        <w:t>to</w:t>
      </w:r>
      <w:r w:rsidR="007D2149" w:rsidRPr="00E74E4D">
        <w:rPr>
          <w:rFonts w:ascii="Arial" w:hAnsi="Arial" w:cs="Arial"/>
          <w:b/>
          <w:u w:val="single"/>
        </w:rPr>
        <w:t xml:space="preserve"> PIPOT protocol to</w:t>
      </w:r>
      <w:r w:rsidR="000951A5" w:rsidRPr="00E74E4D">
        <w:rPr>
          <w:rFonts w:ascii="Arial" w:hAnsi="Arial" w:cs="Arial"/>
          <w:b/>
          <w:u w:val="single"/>
        </w:rPr>
        <w:t xml:space="preserve"> guide</w:t>
      </w:r>
      <w:r w:rsidR="001F412F" w:rsidRPr="00E74E4D">
        <w:rPr>
          <w:rFonts w:ascii="Arial" w:hAnsi="Arial" w:cs="Arial"/>
          <w:b/>
          <w:u w:val="single"/>
        </w:rPr>
        <w:t xml:space="preserve"> </w:t>
      </w:r>
      <w:r w:rsidR="000951A5" w:rsidRPr="00E74E4D">
        <w:rPr>
          <w:rFonts w:ascii="Arial" w:hAnsi="Arial" w:cs="Arial"/>
          <w:b/>
          <w:u w:val="single"/>
        </w:rPr>
        <w:t>PIPOT</w:t>
      </w:r>
      <w:r w:rsidR="000218C7" w:rsidRPr="00E74E4D">
        <w:rPr>
          <w:rFonts w:ascii="Arial" w:hAnsi="Arial" w:cs="Arial"/>
          <w:b/>
          <w:u w:val="single"/>
        </w:rPr>
        <w:t xml:space="preserve"> practice:</w:t>
      </w:r>
      <w:r w:rsidR="00513D89" w:rsidRPr="00E74E4D">
        <w:rPr>
          <w:rFonts w:ascii="Arial" w:hAnsi="Arial" w:cs="Arial"/>
          <w:b/>
          <w:u w:val="single"/>
        </w:rPr>
        <w:t xml:space="preserve"> </w:t>
      </w:r>
    </w:p>
    <w:p w14:paraId="4D05CD74" w14:textId="77777777" w:rsidR="00E74E4D" w:rsidRPr="00E74E4D" w:rsidRDefault="00E74E4D" w:rsidP="00E37D52">
      <w:pPr>
        <w:pStyle w:val="NoSpacing"/>
        <w:rPr>
          <w:rFonts w:ascii="Arial" w:hAnsi="Arial" w:cs="Arial"/>
          <w:b/>
          <w:u w:val="single"/>
        </w:rPr>
      </w:pPr>
    </w:p>
    <w:p w14:paraId="5021DEDC" w14:textId="30E531E8" w:rsidR="000951A5" w:rsidRDefault="00E37D52" w:rsidP="000951A5">
      <w:pPr>
        <w:pStyle w:val="NoSpacing"/>
        <w:rPr>
          <w:rFonts w:ascii="Arial" w:hAnsi="Arial" w:cs="Arial"/>
        </w:rPr>
      </w:pPr>
      <w:r w:rsidRPr="00E74E4D">
        <w:rPr>
          <w:rFonts w:ascii="Arial" w:hAnsi="Arial" w:cs="Arial"/>
        </w:rPr>
        <w:t>12</w:t>
      </w:r>
      <w:r w:rsidR="000218C7" w:rsidRPr="00E74E4D">
        <w:rPr>
          <w:rFonts w:ascii="Arial" w:hAnsi="Arial" w:cs="Arial"/>
        </w:rPr>
        <w:t>.1     A</w:t>
      </w:r>
      <w:r w:rsidR="00E74E4D" w:rsidRPr="00E74E4D">
        <w:rPr>
          <w:rFonts w:ascii="Arial" w:hAnsi="Arial" w:cs="Arial"/>
        </w:rPr>
        <w:t>ppendix</w:t>
      </w:r>
      <w:r w:rsidR="002D5772" w:rsidRPr="00E74E4D">
        <w:rPr>
          <w:rFonts w:ascii="Arial" w:hAnsi="Arial" w:cs="Arial"/>
        </w:rPr>
        <w:t xml:space="preserve"> A: </w:t>
      </w:r>
      <w:r w:rsidR="00FE7EB8" w:rsidRPr="00FE7EB8">
        <w:rPr>
          <w:rFonts w:ascii="Arial" w:hAnsi="Arial" w:cs="Arial"/>
        </w:rPr>
        <w:t>Managing Concerns and Allegations Against People Who Work with Adults with Care and Support Needs</w:t>
      </w:r>
      <w:r w:rsidR="00FE7EB8">
        <w:rPr>
          <w:rFonts w:ascii="Arial" w:hAnsi="Arial" w:cs="Arial"/>
        </w:rPr>
        <w:t xml:space="preserve"> – Flowchart. </w:t>
      </w:r>
    </w:p>
    <w:p w14:paraId="63B850D2" w14:textId="77777777" w:rsidR="005F5649" w:rsidRPr="00E74E4D" w:rsidRDefault="005F5649" w:rsidP="000951A5">
      <w:pPr>
        <w:pStyle w:val="NoSpacing"/>
        <w:rPr>
          <w:rFonts w:ascii="Arial" w:hAnsi="Arial" w:cs="Arial"/>
        </w:rPr>
      </w:pPr>
    </w:p>
    <w:p w14:paraId="4C2BA82C" w14:textId="1562940A" w:rsidR="001B7AFC" w:rsidRDefault="00E37D52" w:rsidP="000951A5">
      <w:pPr>
        <w:pStyle w:val="NoSpacing"/>
        <w:rPr>
          <w:rFonts w:ascii="Arial" w:hAnsi="Arial" w:cs="Arial"/>
        </w:rPr>
      </w:pPr>
      <w:r w:rsidRPr="00E74E4D">
        <w:rPr>
          <w:rFonts w:ascii="Arial" w:hAnsi="Arial" w:cs="Arial"/>
        </w:rPr>
        <w:t>12</w:t>
      </w:r>
      <w:r w:rsidR="00ED0280" w:rsidRPr="00E74E4D">
        <w:rPr>
          <w:rFonts w:ascii="Arial" w:hAnsi="Arial" w:cs="Arial"/>
        </w:rPr>
        <w:t xml:space="preserve">.2 </w:t>
      </w:r>
      <w:r w:rsidR="000218C7" w:rsidRPr="00E74E4D">
        <w:rPr>
          <w:rFonts w:ascii="Arial" w:hAnsi="Arial" w:cs="Arial"/>
        </w:rPr>
        <w:t xml:space="preserve">    </w:t>
      </w:r>
      <w:r w:rsidR="00ED0280" w:rsidRPr="00E74E4D">
        <w:rPr>
          <w:rFonts w:ascii="Arial" w:hAnsi="Arial" w:cs="Arial"/>
        </w:rPr>
        <w:t>A</w:t>
      </w:r>
      <w:r w:rsidR="00E74E4D" w:rsidRPr="00E74E4D">
        <w:rPr>
          <w:rFonts w:ascii="Arial" w:hAnsi="Arial" w:cs="Arial"/>
        </w:rPr>
        <w:t>ppendix</w:t>
      </w:r>
      <w:r w:rsidR="00ED0280" w:rsidRPr="00E74E4D">
        <w:rPr>
          <w:rFonts w:ascii="Arial" w:hAnsi="Arial" w:cs="Arial"/>
        </w:rPr>
        <w:t xml:space="preserve"> B: </w:t>
      </w:r>
      <w:r w:rsidR="000218C7" w:rsidRPr="00E74E4D">
        <w:rPr>
          <w:rFonts w:ascii="Arial" w:hAnsi="Arial" w:cs="Arial"/>
        </w:rPr>
        <w:t xml:space="preserve">Best Practice Guidance when deciding to disclose information </w:t>
      </w:r>
      <w:r w:rsidR="00670A6F">
        <w:rPr>
          <w:rFonts w:ascii="Arial" w:hAnsi="Arial" w:cs="Arial"/>
        </w:rPr>
        <w:t xml:space="preserve">and the </w:t>
      </w:r>
      <w:r w:rsidR="00670A6F" w:rsidRPr="00E74E4D">
        <w:rPr>
          <w:rFonts w:ascii="Arial" w:hAnsi="Arial" w:cs="Arial"/>
        </w:rPr>
        <w:t>Data Protection Act 1998 and GDPR Overview</w:t>
      </w:r>
      <w:r w:rsidR="00770D99">
        <w:rPr>
          <w:rFonts w:ascii="Arial" w:hAnsi="Arial" w:cs="Arial"/>
        </w:rPr>
        <w:t xml:space="preserve"> (including key questions flowchart)</w:t>
      </w:r>
      <w:r w:rsidR="005F5649">
        <w:rPr>
          <w:rFonts w:ascii="Arial" w:hAnsi="Arial" w:cs="Arial"/>
        </w:rPr>
        <w:t>.</w:t>
      </w:r>
    </w:p>
    <w:p w14:paraId="01D5F17E" w14:textId="77777777" w:rsidR="005F5649" w:rsidRPr="00E74E4D" w:rsidRDefault="005F5649" w:rsidP="000951A5">
      <w:pPr>
        <w:pStyle w:val="NoSpacing"/>
        <w:rPr>
          <w:rFonts w:ascii="Arial" w:hAnsi="Arial" w:cs="Arial"/>
        </w:rPr>
      </w:pPr>
    </w:p>
    <w:p w14:paraId="578C2BC7" w14:textId="0D2186F0" w:rsidR="00412C2C" w:rsidRDefault="00E37D52" w:rsidP="000951A5">
      <w:pPr>
        <w:pStyle w:val="NoSpacing"/>
        <w:rPr>
          <w:rFonts w:ascii="Arial" w:hAnsi="Arial" w:cs="Arial"/>
        </w:rPr>
      </w:pPr>
      <w:r w:rsidRPr="00E74E4D">
        <w:rPr>
          <w:rFonts w:ascii="Arial" w:hAnsi="Arial" w:cs="Arial"/>
        </w:rPr>
        <w:t>12</w:t>
      </w:r>
      <w:r w:rsidR="00412C2C" w:rsidRPr="00E74E4D">
        <w:rPr>
          <w:rFonts w:ascii="Arial" w:hAnsi="Arial" w:cs="Arial"/>
        </w:rPr>
        <w:t>.3     A</w:t>
      </w:r>
      <w:r w:rsidR="00E74E4D" w:rsidRPr="00E74E4D">
        <w:rPr>
          <w:rFonts w:ascii="Arial" w:hAnsi="Arial" w:cs="Arial"/>
        </w:rPr>
        <w:t xml:space="preserve">ppendix </w:t>
      </w:r>
      <w:r w:rsidR="00412C2C" w:rsidRPr="00E74E4D">
        <w:rPr>
          <w:rFonts w:ascii="Arial" w:hAnsi="Arial" w:cs="Arial"/>
        </w:rPr>
        <w:t xml:space="preserve">C: </w:t>
      </w:r>
      <w:r w:rsidR="00782B02" w:rsidRPr="00E74E4D">
        <w:rPr>
          <w:rFonts w:ascii="Arial" w:hAnsi="Arial" w:cs="Arial"/>
        </w:rPr>
        <w:t>Risk balance Sheet</w:t>
      </w:r>
      <w:r w:rsidR="005F5649">
        <w:rPr>
          <w:rFonts w:ascii="Arial" w:hAnsi="Arial" w:cs="Arial"/>
        </w:rPr>
        <w:t>.</w:t>
      </w:r>
    </w:p>
    <w:p w14:paraId="5A42542B" w14:textId="77777777" w:rsidR="005F5649" w:rsidRPr="00E74E4D" w:rsidRDefault="005F5649" w:rsidP="000951A5">
      <w:pPr>
        <w:pStyle w:val="NoSpacing"/>
        <w:rPr>
          <w:rFonts w:ascii="Arial" w:hAnsi="Arial" w:cs="Arial"/>
        </w:rPr>
      </w:pPr>
    </w:p>
    <w:p w14:paraId="74CF32AD" w14:textId="34F8FAC1" w:rsidR="00782B02" w:rsidRDefault="00E37D52" w:rsidP="000951A5">
      <w:pPr>
        <w:pStyle w:val="NoSpacing"/>
        <w:rPr>
          <w:rFonts w:ascii="Arial" w:hAnsi="Arial" w:cs="Arial"/>
        </w:rPr>
      </w:pPr>
      <w:r w:rsidRPr="00E74E4D">
        <w:rPr>
          <w:rFonts w:ascii="Arial" w:hAnsi="Arial" w:cs="Arial"/>
        </w:rPr>
        <w:t>12</w:t>
      </w:r>
      <w:r w:rsidR="00782B02" w:rsidRPr="00E74E4D">
        <w:rPr>
          <w:rFonts w:ascii="Arial" w:hAnsi="Arial" w:cs="Arial"/>
        </w:rPr>
        <w:t>.4</w:t>
      </w:r>
      <w:r w:rsidR="003332D4" w:rsidRPr="00E74E4D">
        <w:rPr>
          <w:rFonts w:ascii="Arial" w:hAnsi="Arial" w:cs="Arial"/>
        </w:rPr>
        <w:t xml:space="preserve">     A</w:t>
      </w:r>
      <w:r w:rsidR="00E74E4D" w:rsidRPr="00E74E4D">
        <w:rPr>
          <w:rFonts w:ascii="Arial" w:hAnsi="Arial" w:cs="Arial"/>
        </w:rPr>
        <w:t>ppendix</w:t>
      </w:r>
      <w:r w:rsidR="003332D4" w:rsidRPr="00E74E4D">
        <w:rPr>
          <w:rFonts w:ascii="Arial" w:hAnsi="Arial" w:cs="Arial"/>
        </w:rPr>
        <w:t xml:space="preserve"> D:  Factors to consider regarding </w:t>
      </w:r>
      <w:r w:rsidR="009D31B5" w:rsidRPr="00E74E4D">
        <w:rPr>
          <w:rFonts w:ascii="Arial" w:hAnsi="Arial" w:cs="Arial"/>
        </w:rPr>
        <w:t>Person in a position of Trust     notifications</w:t>
      </w:r>
      <w:r w:rsidR="005F5649">
        <w:rPr>
          <w:rFonts w:ascii="Arial" w:hAnsi="Arial" w:cs="Arial"/>
        </w:rPr>
        <w:t>.</w:t>
      </w:r>
    </w:p>
    <w:p w14:paraId="4EB89D59" w14:textId="77777777" w:rsidR="005F5649" w:rsidRPr="00E74E4D" w:rsidRDefault="005F5649" w:rsidP="000951A5">
      <w:pPr>
        <w:pStyle w:val="NoSpacing"/>
        <w:rPr>
          <w:rFonts w:ascii="Arial" w:hAnsi="Arial" w:cs="Arial"/>
        </w:rPr>
      </w:pPr>
    </w:p>
    <w:p w14:paraId="7A4CA2FB" w14:textId="5FE81B78" w:rsidR="00FA2719" w:rsidRDefault="00E37D52" w:rsidP="00373AAB">
      <w:pPr>
        <w:pStyle w:val="NoSpacing"/>
        <w:shd w:val="clear" w:color="auto" w:fill="FFFFFF" w:themeFill="background1"/>
        <w:rPr>
          <w:rFonts w:ascii="Arial" w:hAnsi="Arial" w:cs="Arial"/>
        </w:rPr>
      </w:pPr>
      <w:r w:rsidRPr="00B70047">
        <w:rPr>
          <w:rFonts w:ascii="Arial" w:hAnsi="Arial" w:cs="Arial"/>
          <w:shd w:val="clear" w:color="auto" w:fill="000000" w:themeFill="text1"/>
        </w:rPr>
        <w:t>12</w:t>
      </w:r>
      <w:r w:rsidR="006E0A7C" w:rsidRPr="00B70047">
        <w:rPr>
          <w:rFonts w:ascii="Arial" w:hAnsi="Arial" w:cs="Arial"/>
          <w:shd w:val="clear" w:color="auto" w:fill="000000" w:themeFill="text1"/>
        </w:rPr>
        <w:t>.5</w:t>
      </w:r>
      <w:r w:rsidR="007D4772" w:rsidRPr="00E74E4D">
        <w:rPr>
          <w:rFonts w:ascii="Arial" w:hAnsi="Arial" w:cs="Arial"/>
        </w:rPr>
        <w:t xml:space="preserve">        A</w:t>
      </w:r>
      <w:r w:rsidR="00E74E4D" w:rsidRPr="00E74E4D">
        <w:rPr>
          <w:rFonts w:ascii="Arial" w:hAnsi="Arial" w:cs="Arial"/>
        </w:rPr>
        <w:t>ppendix</w:t>
      </w:r>
      <w:r w:rsidR="007D4772" w:rsidRPr="00E74E4D">
        <w:rPr>
          <w:rFonts w:ascii="Arial" w:hAnsi="Arial" w:cs="Arial"/>
        </w:rPr>
        <w:t xml:space="preserve"> E</w:t>
      </w:r>
      <w:r w:rsidR="001D3DF7" w:rsidRPr="00E74E4D">
        <w:rPr>
          <w:rFonts w:ascii="Arial" w:hAnsi="Arial" w:cs="Arial"/>
        </w:rPr>
        <w:t>:</w:t>
      </w:r>
      <w:r w:rsidR="00E74E4D" w:rsidRPr="00E74E4D">
        <w:rPr>
          <w:rFonts w:ascii="Arial" w:hAnsi="Arial" w:cs="Arial"/>
        </w:rPr>
        <w:t xml:space="preserve"> </w:t>
      </w:r>
      <w:r w:rsidR="001D3DF7" w:rsidRPr="00E74E4D">
        <w:rPr>
          <w:rFonts w:ascii="Arial" w:hAnsi="Arial" w:cs="Arial"/>
        </w:rPr>
        <w:t>Referral Form</w:t>
      </w:r>
      <w:r w:rsidR="005F5649">
        <w:rPr>
          <w:rFonts w:ascii="Arial" w:hAnsi="Arial" w:cs="Arial"/>
        </w:rPr>
        <w:t>.</w:t>
      </w:r>
    </w:p>
    <w:p w14:paraId="13CCC795" w14:textId="77777777" w:rsidR="005F5649" w:rsidRPr="00E74E4D" w:rsidRDefault="005F5649" w:rsidP="00373AAB">
      <w:pPr>
        <w:pStyle w:val="NoSpacing"/>
        <w:shd w:val="clear" w:color="auto" w:fill="FFFFFF" w:themeFill="background1"/>
        <w:rPr>
          <w:rFonts w:ascii="Arial" w:hAnsi="Arial" w:cs="Arial"/>
        </w:rPr>
      </w:pPr>
    </w:p>
    <w:p w14:paraId="5EB65135" w14:textId="56EA2A32" w:rsidR="00887A72" w:rsidRDefault="00E37D52" w:rsidP="00296D07">
      <w:pPr>
        <w:pStyle w:val="NoSpacing"/>
        <w:rPr>
          <w:rFonts w:ascii="Arial" w:hAnsi="Arial" w:cs="Arial"/>
        </w:rPr>
      </w:pPr>
      <w:r w:rsidRPr="00E74E4D">
        <w:rPr>
          <w:rFonts w:ascii="Arial" w:hAnsi="Arial" w:cs="Arial"/>
        </w:rPr>
        <w:t>12</w:t>
      </w:r>
      <w:r w:rsidR="00887A72" w:rsidRPr="00E74E4D">
        <w:rPr>
          <w:rFonts w:ascii="Arial" w:hAnsi="Arial" w:cs="Arial"/>
        </w:rPr>
        <w:t xml:space="preserve">.6    </w:t>
      </w:r>
      <w:r w:rsidRPr="00E74E4D">
        <w:rPr>
          <w:rFonts w:ascii="Arial" w:hAnsi="Arial" w:cs="Arial"/>
        </w:rPr>
        <w:t xml:space="preserve">   </w:t>
      </w:r>
      <w:r w:rsidR="00887A72" w:rsidRPr="00E74E4D">
        <w:rPr>
          <w:rFonts w:ascii="Arial" w:hAnsi="Arial" w:cs="Arial"/>
        </w:rPr>
        <w:t xml:space="preserve"> A</w:t>
      </w:r>
      <w:r w:rsidR="00E74E4D" w:rsidRPr="00E74E4D">
        <w:rPr>
          <w:rFonts w:ascii="Arial" w:hAnsi="Arial" w:cs="Arial"/>
        </w:rPr>
        <w:t>ppendix</w:t>
      </w:r>
      <w:r w:rsidR="00887A72" w:rsidRPr="00E74E4D">
        <w:rPr>
          <w:rFonts w:ascii="Arial" w:hAnsi="Arial" w:cs="Arial"/>
        </w:rPr>
        <w:t xml:space="preserve"> F: </w:t>
      </w:r>
      <w:r w:rsidR="00E74E4D" w:rsidRPr="00E74E4D">
        <w:rPr>
          <w:rFonts w:ascii="Arial" w:hAnsi="Arial" w:cs="Arial"/>
        </w:rPr>
        <w:t xml:space="preserve"> </w:t>
      </w:r>
      <w:r w:rsidR="00373AAB" w:rsidRPr="00E74E4D">
        <w:rPr>
          <w:rFonts w:ascii="Arial" w:hAnsi="Arial" w:cs="Arial"/>
        </w:rPr>
        <w:t>Agenda for Planning meeting or planning discussion template</w:t>
      </w:r>
      <w:r w:rsidR="005F5649">
        <w:rPr>
          <w:rFonts w:ascii="Arial" w:hAnsi="Arial" w:cs="Arial"/>
        </w:rPr>
        <w:t>.</w:t>
      </w:r>
    </w:p>
    <w:p w14:paraId="706192E2" w14:textId="77777777" w:rsidR="005F5649" w:rsidRPr="00E74E4D" w:rsidRDefault="005F5649" w:rsidP="00296D07">
      <w:pPr>
        <w:pStyle w:val="NoSpacing"/>
        <w:rPr>
          <w:rFonts w:ascii="Arial" w:hAnsi="Arial" w:cs="Arial"/>
        </w:rPr>
      </w:pPr>
    </w:p>
    <w:p w14:paraId="6B71A1D1" w14:textId="09EA223B" w:rsidR="00373AAB" w:rsidRDefault="00E37D52" w:rsidP="00296D07">
      <w:pPr>
        <w:pStyle w:val="NoSpacing"/>
        <w:rPr>
          <w:rFonts w:ascii="Arial" w:hAnsi="Arial" w:cs="Arial"/>
        </w:rPr>
      </w:pPr>
      <w:r w:rsidRPr="00E74E4D">
        <w:rPr>
          <w:rFonts w:ascii="Arial" w:hAnsi="Arial" w:cs="Arial"/>
        </w:rPr>
        <w:t>12</w:t>
      </w:r>
      <w:r w:rsidR="00373AAB" w:rsidRPr="00E74E4D">
        <w:rPr>
          <w:rFonts w:ascii="Arial" w:hAnsi="Arial" w:cs="Arial"/>
        </w:rPr>
        <w:t>.7</w:t>
      </w:r>
      <w:r w:rsidR="007D2149" w:rsidRPr="00E74E4D">
        <w:rPr>
          <w:rFonts w:ascii="Arial" w:hAnsi="Arial" w:cs="Arial"/>
        </w:rPr>
        <w:t xml:space="preserve">     </w:t>
      </w:r>
      <w:r w:rsidRPr="00E74E4D">
        <w:rPr>
          <w:rFonts w:ascii="Arial" w:hAnsi="Arial" w:cs="Arial"/>
        </w:rPr>
        <w:t xml:space="preserve">   </w:t>
      </w:r>
      <w:r w:rsidR="007D2149" w:rsidRPr="00E74E4D">
        <w:rPr>
          <w:rFonts w:ascii="Arial" w:hAnsi="Arial" w:cs="Arial"/>
        </w:rPr>
        <w:t>A</w:t>
      </w:r>
      <w:r w:rsidR="00E74E4D" w:rsidRPr="00E74E4D">
        <w:rPr>
          <w:rFonts w:ascii="Arial" w:hAnsi="Arial" w:cs="Arial"/>
        </w:rPr>
        <w:t>ppendix</w:t>
      </w:r>
      <w:r w:rsidR="007D2149" w:rsidRPr="00E74E4D">
        <w:rPr>
          <w:rFonts w:ascii="Arial" w:hAnsi="Arial" w:cs="Arial"/>
        </w:rPr>
        <w:t xml:space="preserve"> G: Agenda for case closure meeting</w:t>
      </w:r>
      <w:r w:rsidR="005F5649">
        <w:rPr>
          <w:rFonts w:ascii="Arial" w:hAnsi="Arial" w:cs="Arial"/>
        </w:rPr>
        <w:t>.</w:t>
      </w:r>
    </w:p>
    <w:p w14:paraId="762FEE59" w14:textId="77777777" w:rsidR="005F5649" w:rsidRPr="00E74E4D" w:rsidRDefault="005F5649" w:rsidP="00296D07">
      <w:pPr>
        <w:pStyle w:val="NoSpacing"/>
        <w:rPr>
          <w:rFonts w:ascii="Arial" w:hAnsi="Arial" w:cs="Arial"/>
        </w:rPr>
      </w:pPr>
    </w:p>
    <w:p w14:paraId="41738B1B" w14:textId="478D35B3" w:rsidR="007D2149" w:rsidRDefault="00E37D52" w:rsidP="00296D07">
      <w:pPr>
        <w:pStyle w:val="NoSpacing"/>
        <w:rPr>
          <w:rFonts w:ascii="Arial" w:hAnsi="Arial" w:cs="Arial"/>
        </w:rPr>
      </w:pPr>
      <w:r w:rsidRPr="00E74E4D">
        <w:rPr>
          <w:rFonts w:ascii="Arial" w:hAnsi="Arial" w:cs="Arial"/>
        </w:rPr>
        <w:t>12</w:t>
      </w:r>
      <w:r w:rsidR="007D2149" w:rsidRPr="00E74E4D">
        <w:rPr>
          <w:rFonts w:ascii="Arial" w:hAnsi="Arial" w:cs="Arial"/>
        </w:rPr>
        <w:t xml:space="preserve">.8     </w:t>
      </w:r>
      <w:r w:rsidRPr="00E74E4D">
        <w:rPr>
          <w:rFonts w:ascii="Arial" w:hAnsi="Arial" w:cs="Arial"/>
        </w:rPr>
        <w:t xml:space="preserve">   </w:t>
      </w:r>
      <w:r w:rsidR="007D2149" w:rsidRPr="00E74E4D">
        <w:rPr>
          <w:rFonts w:ascii="Arial" w:hAnsi="Arial" w:cs="Arial"/>
        </w:rPr>
        <w:t>A</w:t>
      </w:r>
      <w:r w:rsidR="00E74E4D" w:rsidRPr="00E74E4D">
        <w:rPr>
          <w:rFonts w:ascii="Arial" w:hAnsi="Arial" w:cs="Arial"/>
        </w:rPr>
        <w:t xml:space="preserve">ppendix </w:t>
      </w:r>
      <w:r w:rsidR="007D2149" w:rsidRPr="00E74E4D">
        <w:rPr>
          <w:rFonts w:ascii="Arial" w:hAnsi="Arial" w:cs="Arial"/>
        </w:rPr>
        <w:t>H: Planning meeting or Planning discussion Minutes template</w:t>
      </w:r>
      <w:r w:rsidR="005F5649">
        <w:rPr>
          <w:rFonts w:ascii="Arial" w:hAnsi="Arial" w:cs="Arial"/>
        </w:rPr>
        <w:t>.</w:t>
      </w:r>
    </w:p>
    <w:p w14:paraId="0F51F06B" w14:textId="77777777" w:rsidR="005F5649" w:rsidRPr="00E74E4D" w:rsidRDefault="005F5649" w:rsidP="00296D07">
      <w:pPr>
        <w:pStyle w:val="NoSpacing"/>
        <w:rPr>
          <w:rFonts w:ascii="Arial" w:hAnsi="Arial" w:cs="Arial"/>
        </w:rPr>
      </w:pPr>
    </w:p>
    <w:p w14:paraId="10CA756D" w14:textId="27B64283" w:rsidR="007D2149" w:rsidRPr="00E74E4D" w:rsidRDefault="00E37D52" w:rsidP="00296D07">
      <w:pPr>
        <w:pStyle w:val="NoSpacing"/>
        <w:rPr>
          <w:rFonts w:ascii="Arial" w:hAnsi="Arial" w:cs="Arial"/>
        </w:rPr>
      </w:pPr>
      <w:r w:rsidRPr="00E74E4D">
        <w:rPr>
          <w:rFonts w:ascii="Arial" w:hAnsi="Arial" w:cs="Arial"/>
        </w:rPr>
        <w:t>12</w:t>
      </w:r>
      <w:r w:rsidR="007D2149" w:rsidRPr="00E74E4D">
        <w:rPr>
          <w:rFonts w:ascii="Arial" w:hAnsi="Arial" w:cs="Arial"/>
        </w:rPr>
        <w:t xml:space="preserve">.9     </w:t>
      </w:r>
      <w:r w:rsidRPr="00E74E4D">
        <w:rPr>
          <w:rFonts w:ascii="Arial" w:hAnsi="Arial" w:cs="Arial"/>
        </w:rPr>
        <w:t xml:space="preserve">   </w:t>
      </w:r>
      <w:r w:rsidR="007D2149" w:rsidRPr="00E74E4D">
        <w:rPr>
          <w:rFonts w:ascii="Arial" w:hAnsi="Arial" w:cs="Arial"/>
        </w:rPr>
        <w:t>A</w:t>
      </w:r>
      <w:r w:rsidR="00E74E4D" w:rsidRPr="00E74E4D">
        <w:rPr>
          <w:rFonts w:ascii="Arial" w:hAnsi="Arial" w:cs="Arial"/>
        </w:rPr>
        <w:t>ppendix</w:t>
      </w:r>
      <w:r w:rsidR="007D2149" w:rsidRPr="00E74E4D">
        <w:rPr>
          <w:rFonts w:ascii="Arial" w:hAnsi="Arial" w:cs="Arial"/>
        </w:rPr>
        <w:t xml:space="preserve"> J:   Case Closure Meeting </w:t>
      </w:r>
      <w:r w:rsidRPr="00E74E4D">
        <w:rPr>
          <w:rFonts w:ascii="Arial" w:hAnsi="Arial" w:cs="Arial"/>
        </w:rPr>
        <w:t>Minutes</w:t>
      </w:r>
      <w:r w:rsidR="007D2149" w:rsidRPr="00E74E4D">
        <w:rPr>
          <w:rFonts w:ascii="Arial" w:hAnsi="Arial" w:cs="Arial"/>
        </w:rPr>
        <w:t xml:space="preserve"> Template </w:t>
      </w:r>
    </w:p>
    <w:p w14:paraId="7B827FE3" w14:textId="58712A4A" w:rsidR="007D2149" w:rsidRDefault="007D2149" w:rsidP="00296D07">
      <w:pPr>
        <w:pStyle w:val="NoSpacing"/>
        <w:rPr>
          <w:sz w:val="24"/>
          <w:szCs w:val="24"/>
        </w:rPr>
      </w:pPr>
    </w:p>
    <w:p w14:paraId="0870386C" w14:textId="54312B0D" w:rsidR="007D2149" w:rsidRDefault="007D2149" w:rsidP="00296D07">
      <w:pPr>
        <w:pStyle w:val="NoSpacing"/>
        <w:rPr>
          <w:sz w:val="24"/>
          <w:szCs w:val="24"/>
        </w:rPr>
      </w:pPr>
    </w:p>
    <w:p w14:paraId="7D4D64D1" w14:textId="64A091E8" w:rsidR="007D2149" w:rsidRPr="00E37D52" w:rsidRDefault="007D2149" w:rsidP="00296D07">
      <w:pPr>
        <w:pStyle w:val="NoSpacing"/>
        <w:rPr>
          <w:b/>
          <w:i/>
          <w:sz w:val="24"/>
          <w:szCs w:val="24"/>
        </w:rPr>
      </w:pPr>
      <w:r w:rsidRPr="00E37D52">
        <w:rPr>
          <w:b/>
          <w:i/>
          <w:sz w:val="24"/>
          <w:szCs w:val="24"/>
        </w:rPr>
        <w:lastRenderedPageBreak/>
        <w:t xml:space="preserve">End of PIPOT protocol and Practice </w:t>
      </w:r>
      <w:r w:rsidR="00E37D52">
        <w:rPr>
          <w:b/>
          <w:i/>
          <w:sz w:val="24"/>
          <w:szCs w:val="24"/>
        </w:rPr>
        <w:t>Guidance</w:t>
      </w:r>
    </w:p>
    <w:p w14:paraId="4AE93C0A" w14:textId="77777777" w:rsidR="007D2149" w:rsidRPr="007D2149" w:rsidRDefault="007D2149" w:rsidP="00296D07">
      <w:pPr>
        <w:pStyle w:val="NoSpacing"/>
        <w:rPr>
          <w:sz w:val="24"/>
          <w:szCs w:val="24"/>
        </w:rPr>
      </w:pPr>
    </w:p>
    <w:p w14:paraId="54E7B5E9" w14:textId="77777777" w:rsidR="000D61BF" w:rsidRPr="0050118D" w:rsidRDefault="000D61BF" w:rsidP="00C97F0F">
      <w:pPr>
        <w:tabs>
          <w:tab w:val="left" w:pos="869"/>
        </w:tabs>
        <w:ind w:right="117"/>
        <w:rPr>
          <w:rFonts w:ascii="Trebuchet MS" w:hAnsi="Trebuchet MS"/>
          <w:b/>
          <w:sz w:val="24"/>
          <w:szCs w:val="24"/>
        </w:rPr>
      </w:pPr>
    </w:p>
    <w:p w14:paraId="11846E59" w14:textId="77777777" w:rsidR="00E1527B" w:rsidRDefault="00E1527B" w:rsidP="00E1527B">
      <w:pPr>
        <w:pStyle w:val="NoSpacing"/>
        <w:ind w:left="720"/>
        <w:rPr>
          <w:sz w:val="24"/>
          <w:szCs w:val="24"/>
        </w:rPr>
      </w:pPr>
    </w:p>
    <w:p w14:paraId="7AD7828D" w14:textId="77777777" w:rsidR="00E1527B" w:rsidRDefault="00E1527B" w:rsidP="00A8196A">
      <w:pPr>
        <w:rPr>
          <w:rFonts w:ascii="Trebuchet MS" w:hAnsi="Trebuchet MS"/>
          <w:b/>
          <w:sz w:val="24"/>
          <w:szCs w:val="24"/>
        </w:rPr>
      </w:pPr>
    </w:p>
    <w:sectPr w:rsidR="00E1527B">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BC02" w14:textId="77777777" w:rsidR="003A3605" w:rsidRDefault="003A3605" w:rsidP="00680324">
      <w:pPr>
        <w:spacing w:after="0" w:line="240" w:lineRule="auto"/>
      </w:pPr>
      <w:r>
        <w:separator/>
      </w:r>
    </w:p>
  </w:endnote>
  <w:endnote w:type="continuationSeparator" w:id="0">
    <w:p w14:paraId="33F4EF4B" w14:textId="77777777" w:rsidR="003A3605" w:rsidRDefault="003A3605" w:rsidP="0068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002462"/>
      <w:docPartObj>
        <w:docPartGallery w:val="Page Numbers (Bottom of Page)"/>
        <w:docPartUnique/>
      </w:docPartObj>
    </w:sdtPr>
    <w:sdtEndPr>
      <w:rPr>
        <w:noProof/>
      </w:rPr>
    </w:sdtEndPr>
    <w:sdtContent>
      <w:p w14:paraId="7260B446" w14:textId="6AA01D1E" w:rsidR="009A4922" w:rsidRDefault="009A49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619C5B" w14:textId="57264638" w:rsidR="00680324" w:rsidRPr="004A0B4C" w:rsidRDefault="00680324">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2E2D" w14:textId="77777777" w:rsidR="003A3605" w:rsidRDefault="003A3605" w:rsidP="00680324">
      <w:pPr>
        <w:spacing w:after="0" w:line="240" w:lineRule="auto"/>
      </w:pPr>
      <w:r>
        <w:separator/>
      </w:r>
    </w:p>
  </w:footnote>
  <w:footnote w:type="continuationSeparator" w:id="0">
    <w:p w14:paraId="0BDD31AF" w14:textId="77777777" w:rsidR="003A3605" w:rsidRDefault="003A3605" w:rsidP="00680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738"/>
    <w:multiLevelType w:val="multilevel"/>
    <w:tmpl w:val="5044D7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A563D1"/>
    <w:multiLevelType w:val="multilevel"/>
    <w:tmpl w:val="1D2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E6A16"/>
    <w:multiLevelType w:val="hybridMultilevel"/>
    <w:tmpl w:val="344A8048"/>
    <w:lvl w:ilvl="0" w:tplc="F3AA56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159D5"/>
    <w:multiLevelType w:val="hybridMultilevel"/>
    <w:tmpl w:val="32649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76978"/>
    <w:multiLevelType w:val="multilevel"/>
    <w:tmpl w:val="C462732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D05153"/>
    <w:multiLevelType w:val="hybridMultilevel"/>
    <w:tmpl w:val="10888F82"/>
    <w:lvl w:ilvl="0" w:tplc="F3AA56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B1B45"/>
    <w:multiLevelType w:val="multilevel"/>
    <w:tmpl w:val="AD7E6D2E"/>
    <w:lvl w:ilvl="0">
      <w:start w:val="7"/>
      <w:numFmt w:val="decimal"/>
      <w:lvlText w:val="%1"/>
      <w:lvlJc w:val="left"/>
      <w:pPr>
        <w:ind w:left="540" w:hanging="540"/>
      </w:pPr>
      <w:rPr>
        <w:rFonts w:hint="default"/>
        <w:sz w:val="28"/>
        <w:szCs w:val="28"/>
      </w:rPr>
    </w:lvl>
    <w:lvl w:ilvl="1">
      <w:start w:val="1"/>
      <w:numFmt w:val="bullet"/>
      <w:lvlText w:val=""/>
      <w:lvlJc w:val="left"/>
      <w:pPr>
        <w:ind w:left="540" w:hanging="5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8424D5"/>
    <w:multiLevelType w:val="multilevel"/>
    <w:tmpl w:val="AD7E6D2E"/>
    <w:lvl w:ilvl="0">
      <w:start w:val="7"/>
      <w:numFmt w:val="decimal"/>
      <w:lvlText w:val="%1"/>
      <w:lvlJc w:val="left"/>
      <w:pPr>
        <w:ind w:left="540" w:hanging="540"/>
      </w:pPr>
      <w:rPr>
        <w:rFonts w:hint="default"/>
        <w:sz w:val="28"/>
        <w:szCs w:val="28"/>
      </w:rPr>
    </w:lvl>
    <w:lvl w:ilvl="1">
      <w:start w:val="1"/>
      <w:numFmt w:val="bullet"/>
      <w:lvlText w:val=""/>
      <w:lvlJc w:val="left"/>
      <w:pPr>
        <w:ind w:left="540" w:hanging="5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666F67"/>
    <w:multiLevelType w:val="hybridMultilevel"/>
    <w:tmpl w:val="7744F76A"/>
    <w:lvl w:ilvl="0" w:tplc="F3AA56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E5E90"/>
    <w:multiLevelType w:val="hybridMultilevel"/>
    <w:tmpl w:val="F3DCF2D6"/>
    <w:lvl w:ilvl="0" w:tplc="F3AA56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D86AAF"/>
    <w:multiLevelType w:val="hybridMultilevel"/>
    <w:tmpl w:val="3360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A6ABD"/>
    <w:multiLevelType w:val="hybridMultilevel"/>
    <w:tmpl w:val="5FACC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132C7C"/>
    <w:multiLevelType w:val="multilevel"/>
    <w:tmpl w:val="BA865E7A"/>
    <w:lvl w:ilvl="0">
      <w:start w:val="1"/>
      <w:numFmt w:val="decimal"/>
      <w:lvlText w:val="%1"/>
      <w:lvlJc w:val="left"/>
      <w:pPr>
        <w:ind w:left="413" w:hanging="413"/>
      </w:pPr>
      <w:rPr>
        <w:rFonts w:hint="default"/>
      </w:rPr>
    </w:lvl>
    <w:lvl w:ilvl="1">
      <w:start w:val="1"/>
      <w:numFmt w:val="decimal"/>
      <w:lvlText w:val="%1.%2"/>
      <w:lvlJc w:val="left"/>
      <w:pPr>
        <w:ind w:left="413" w:hanging="4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F1676B"/>
    <w:multiLevelType w:val="hybridMultilevel"/>
    <w:tmpl w:val="835E335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77D021F"/>
    <w:multiLevelType w:val="multilevel"/>
    <w:tmpl w:val="475E40AA"/>
    <w:lvl w:ilvl="0">
      <w:start w:val="1"/>
      <w:numFmt w:val="decimal"/>
      <w:lvlText w:val="%1."/>
      <w:lvlJc w:val="left"/>
      <w:pPr>
        <w:ind w:left="795" w:hanging="435"/>
      </w:pPr>
      <w:rPr>
        <w:rFonts w:hint="default"/>
        <w:color w:val="17365D"/>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8472FD0"/>
    <w:multiLevelType w:val="multilevel"/>
    <w:tmpl w:val="E3E20E1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5003AD"/>
    <w:multiLevelType w:val="multilevel"/>
    <w:tmpl w:val="1ABE350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5D22E0"/>
    <w:multiLevelType w:val="multilevel"/>
    <w:tmpl w:val="3244E45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20549F"/>
    <w:multiLevelType w:val="hybridMultilevel"/>
    <w:tmpl w:val="5714F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041FB"/>
    <w:multiLevelType w:val="multilevel"/>
    <w:tmpl w:val="0AF80F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FB1051"/>
    <w:multiLevelType w:val="multilevel"/>
    <w:tmpl w:val="4CF6DFE8"/>
    <w:lvl w:ilvl="0">
      <w:start w:val="7"/>
      <w:numFmt w:val="decimal"/>
      <w:lvlText w:val="%1"/>
      <w:lvlJc w:val="left"/>
      <w:pPr>
        <w:ind w:left="540" w:hanging="540"/>
      </w:pPr>
      <w:rPr>
        <w:rFonts w:hint="default"/>
        <w:sz w:val="28"/>
        <w:szCs w:val="28"/>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5B0837"/>
    <w:multiLevelType w:val="multilevel"/>
    <w:tmpl w:val="69D6C2B4"/>
    <w:lvl w:ilvl="0">
      <w:start w:val="7"/>
      <w:numFmt w:val="decimal"/>
      <w:lvlText w:val="%1"/>
      <w:lvlJc w:val="left"/>
      <w:pPr>
        <w:ind w:left="540" w:hanging="540"/>
      </w:pPr>
      <w:rPr>
        <w:rFonts w:hint="default"/>
        <w:sz w:val="28"/>
        <w:szCs w:val="28"/>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40224A"/>
    <w:multiLevelType w:val="hybridMultilevel"/>
    <w:tmpl w:val="753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840BD"/>
    <w:multiLevelType w:val="multilevel"/>
    <w:tmpl w:val="9248637E"/>
    <w:lvl w:ilvl="0">
      <w:start w:val="1"/>
      <w:numFmt w:val="bullet"/>
      <w:lvlText w:val=""/>
      <w:lvlJc w:val="left"/>
      <w:pPr>
        <w:ind w:left="540" w:hanging="540"/>
      </w:pPr>
      <w:rPr>
        <w:rFonts w:ascii="Symbol" w:hAnsi="Symbol" w:hint="default"/>
        <w:sz w:val="28"/>
        <w:szCs w:val="28"/>
      </w:rPr>
    </w:lvl>
    <w:lvl w:ilvl="1">
      <w:start w:val="1"/>
      <w:numFmt w:val="bullet"/>
      <w:lvlText w:val=""/>
      <w:lvlJc w:val="left"/>
      <w:pPr>
        <w:ind w:left="540" w:hanging="5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4A67ABA"/>
    <w:multiLevelType w:val="multilevel"/>
    <w:tmpl w:val="473C4058"/>
    <w:lvl w:ilvl="0">
      <w:start w:val="7"/>
      <w:numFmt w:val="decimal"/>
      <w:lvlText w:val="%1"/>
      <w:lvlJc w:val="left"/>
      <w:pPr>
        <w:ind w:left="540" w:hanging="540"/>
      </w:pPr>
      <w:rPr>
        <w:rFonts w:hint="default"/>
        <w:sz w:val="28"/>
        <w:szCs w:val="28"/>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6627908"/>
    <w:multiLevelType w:val="multilevel"/>
    <w:tmpl w:val="9248637E"/>
    <w:lvl w:ilvl="0">
      <w:start w:val="1"/>
      <w:numFmt w:val="bullet"/>
      <w:lvlText w:val=""/>
      <w:lvlJc w:val="left"/>
      <w:pPr>
        <w:ind w:left="540" w:hanging="540"/>
      </w:pPr>
      <w:rPr>
        <w:rFonts w:ascii="Symbol" w:hAnsi="Symbol" w:hint="default"/>
        <w:sz w:val="28"/>
        <w:szCs w:val="28"/>
      </w:rPr>
    </w:lvl>
    <w:lvl w:ilvl="1">
      <w:start w:val="1"/>
      <w:numFmt w:val="bullet"/>
      <w:lvlText w:val=""/>
      <w:lvlJc w:val="left"/>
      <w:pPr>
        <w:ind w:left="540" w:hanging="5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BE449D"/>
    <w:multiLevelType w:val="multilevel"/>
    <w:tmpl w:val="4CF6DFE8"/>
    <w:lvl w:ilvl="0">
      <w:start w:val="7"/>
      <w:numFmt w:val="decimal"/>
      <w:lvlText w:val="%1"/>
      <w:lvlJc w:val="left"/>
      <w:pPr>
        <w:ind w:left="540" w:hanging="540"/>
      </w:pPr>
      <w:rPr>
        <w:rFonts w:hint="default"/>
        <w:sz w:val="28"/>
        <w:szCs w:val="28"/>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8ED2CDD"/>
    <w:multiLevelType w:val="hybridMultilevel"/>
    <w:tmpl w:val="AA2E1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50FCD"/>
    <w:multiLevelType w:val="multilevel"/>
    <w:tmpl w:val="98847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A50139"/>
    <w:multiLevelType w:val="multilevel"/>
    <w:tmpl w:val="29E8023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5BB57A5"/>
    <w:multiLevelType w:val="multilevel"/>
    <w:tmpl w:val="39386AEA"/>
    <w:lvl w:ilvl="0">
      <w:start w:val="9"/>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7DB5BAF"/>
    <w:multiLevelType w:val="multilevel"/>
    <w:tmpl w:val="65EC7EF4"/>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8A36473"/>
    <w:multiLevelType w:val="hybridMultilevel"/>
    <w:tmpl w:val="BE78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CF6CE0"/>
    <w:multiLevelType w:val="hybridMultilevel"/>
    <w:tmpl w:val="221E1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9396F"/>
    <w:multiLevelType w:val="hybridMultilevel"/>
    <w:tmpl w:val="077C8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BF59AE"/>
    <w:multiLevelType w:val="multilevel"/>
    <w:tmpl w:val="422C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5347CE"/>
    <w:multiLevelType w:val="multilevel"/>
    <w:tmpl w:val="9248637E"/>
    <w:lvl w:ilvl="0">
      <w:start w:val="1"/>
      <w:numFmt w:val="bullet"/>
      <w:lvlText w:val=""/>
      <w:lvlJc w:val="left"/>
      <w:pPr>
        <w:ind w:left="540" w:hanging="540"/>
      </w:pPr>
      <w:rPr>
        <w:rFonts w:ascii="Symbol" w:hAnsi="Symbol" w:hint="default"/>
        <w:sz w:val="28"/>
        <w:szCs w:val="28"/>
      </w:rPr>
    </w:lvl>
    <w:lvl w:ilvl="1">
      <w:start w:val="1"/>
      <w:numFmt w:val="bullet"/>
      <w:lvlText w:val=""/>
      <w:lvlJc w:val="left"/>
      <w:pPr>
        <w:ind w:left="540" w:hanging="5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66038817">
    <w:abstractNumId w:val="35"/>
  </w:num>
  <w:num w:numId="2" w16cid:durableId="518666717">
    <w:abstractNumId w:val="1"/>
  </w:num>
  <w:num w:numId="3" w16cid:durableId="1591812903">
    <w:abstractNumId w:val="15"/>
  </w:num>
  <w:num w:numId="4" w16cid:durableId="1520585071">
    <w:abstractNumId w:val="24"/>
  </w:num>
  <w:num w:numId="5" w16cid:durableId="592979620">
    <w:abstractNumId w:val="29"/>
  </w:num>
  <w:num w:numId="6" w16cid:durableId="1195583644">
    <w:abstractNumId w:val="30"/>
  </w:num>
  <w:num w:numId="7" w16cid:durableId="1149665097">
    <w:abstractNumId w:val="14"/>
  </w:num>
  <w:num w:numId="8" w16cid:durableId="1754281449">
    <w:abstractNumId w:val="10"/>
  </w:num>
  <w:num w:numId="9" w16cid:durableId="211235970">
    <w:abstractNumId w:val="12"/>
  </w:num>
  <w:num w:numId="10" w16cid:durableId="2077900431">
    <w:abstractNumId w:val="27"/>
  </w:num>
  <w:num w:numId="11" w16cid:durableId="1928728547">
    <w:abstractNumId w:val="3"/>
  </w:num>
  <w:num w:numId="12" w16cid:durableId="309752355">
    <w:abstractNumId w:val="13"/>
  </w:num>
  <w:num w:numId="13" w16cid:durableId="1025788969">
    <w:abstractNumId w:val="18"/>
  </w:num>
  <w:num w:numId="14" w16cid:durableId="1519077786">
    <w:abstractNumId w:val="28"/>
  </w:num>
  <w:num w:numId="15" w16cid:durableId="953555464">
    <w:abstractNumId w:val="33"/>
  </w:num>
  <w:num w:numId="16" w16cid:durableId="1232349109">
    <w:abstractNumId w:val="22"/>
  </w:num>
  <w:num w:numId="17" w16cid:durableId="784545519">
    <w:abstractNumId w:val="21"/>
  </w:num>
  <w:num w:numId="18" w16cid:durableId="1751538556">
    <w:abstractNumId w:val="19"/>
  </w:num>
  <w:num w:numId="19" w16cid:durableId="1256790659">
    <w:abstractNumId w:val="0"/>
  </w:num>
  <w:num w:numId="20" w16cid:durableId="1539969062">
    <w:abstractNumId w:val="20"/>
  </w:num>
  <w:num w:numId="21" w16cid:durableId="1390686477">
    <w:abstractNumId w:val="26"/>
  </w:num>
  <w:num w:numId="22" w16cid:durableId="1053113259">
    <w:abstractNumId w:val="6"/>
  </w:num>
  <w:num w:numId="23" w16cid:durableId="395396278">
    <w:abstractNumId w:val="7"/>
  </w:num>
  <w:num w:numId="24" w16cid:durableId="1412198699">
    <w:abstractNumId w:val="23"/>
  </w:num>
  <w:num w:numId="25" w16cid:durableId="1420835567">
    <w:abstractNumId w:val="25"/>
  </w:num>
  <w:num w:numId="26" w16cid:durableId="788819609">
    <w:abstractNumId w:val="17"/>
  </w:num>
  <w:num w:numId="27" w16cid:durableId="219904441">
    <w:abstractNumId w:val="36"/>
  </w:num>
  <w:num w:numId="28" w16cid:durableId="46493750">
    <w:abstractNumId w:val="16"/>
  </w:num>
  <w:num w:numId="29" w16cid:durableId="383215388">
    <w:abstractNumId w:val="31"/>
  </w:num>
  <w:num w:numId="30" w16cid:durableId="313610299">
    <w:abstractNumId w:val="4"/>
  </w:num>
  <w:num w:numId="31" w16cid:durableId="1757050113">
    <w:abstractNumId w:val="34"/>
  </w:num>
  <w:num w:numId="32" w16cid:durableId="1445883666">
    <w:abstractNumId w:val="11"/>
  </w:num>
  <w:num w:numId="33" w16cid:durableId="625696227">
    <w:abstractNumId w:val="5"/>
  </w:num>
  <w:num w:numId="34" w16cid:durableId="219902800">
    <w:abstractNumId w:val="9"/>
  </w:num>
  <w:num w:numId="35" w16cid:durableId="896551629">
    <w:abstractNumId w:val="8"/>
  </w:num>
  <w:num w:numId="36" w16cid:durableId="91629812">
    <w:abstractNumId w:val="2"/>
  </w:num>
  <w:num w:numId="37" w16cid:durableId="94326353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EB"/>
    <w:rsid w:val="00005556"/>
    <w:rsid w:val="000218C7"/>
    <w:rsid w:val="00026AFC"/>
    <w:rsid w:val="00042FC3"/>
    <w:rsid w:val="000435A2"/>
    <w:rsid w:val="0004637A"/>
    <w:rsid w:val="0007772C"/>
    <w:rsid w:val="00080BDF"/>
    <w:rsid w:val="000840A1"/>
    <w:rsid w:val="00085EBA"/>
    <w:rsid w:val="0009386B"/>
    <w:rsid w:val="000951A5"/>
    <w:rsid w:val="00096C3E"/>
    <w:rsid w:val="00096FDA"/>
    <w:rsid w:val="000C0536"/>
    <w:rsid w:val="000C20A3"/>
    <w:rsid w:val="000D1047"/>
    <w:rsid w:val="000D61BF"/>
    <w:rsid w:val="000F104A"/>
    <w:rsid w:val="00101E6B"/>
    <w:rsid w:val="00107107"/>
    <w:rsid w:val="00107D88"/>
    <w:rsid w:val="001143DD"/>
    <w:rsid w:val="001144C5"/>
    <w:rsid w:val="001535BF"/>
    <w:rsid w:val="00157470"/>
    <w:rsid w:val="001A0D19"/>
    <w:rsid w:val="001A0D4E"/>
    <w:rsid w:val="001A1BEC"/>
    <w:rsid w:val="001B7AFC"/>
    <w:rsid w:val="001C5469"/>
    <w:rsid w:val="001C638B"/>
    <w:rsid w:val="001D3DF7"/>
    <w:rsid w:val="001E363E"/>
    <w:rsid w:val="001E7BD3"/>
    <w:rsid w:val="001F1458"/>
    <w:rsid w:val="001F412F"/>
    <w:rsid w:val="001F43F9"/>
    <w:rsid w:val="002224B0"/>
    <w:rsid w:val="00226F54"/>
    <w:rsid w:val="00233B52"/>
    <w:rsid w:val="00241828"/>
    <w:rsid w:val="0025488F"/>
    <w:rsid w:val="002612D6"/>
    <w:rsid w:val="0026466F"/>
    <w:rsid w:val="0026605A"/>
    <w:rsid w:val="002735A6"/>
    <w:rsid w:val="00296D07"/>
    <w:rsid w:val="002B31AA"/>
    <w:rsid w:val="002B4CC6"/>
    <w:rsid w:val="002C6F90"/>
    <w:rsid w:val="002D089A"/>
    <w:rsid w:val="002D14AF"/>
    <w:rsid w:val="002D5772"/>
    <w:rsid w:val="002E4056"/>
    <w:rsid w:val="002E44DC"/>
    <w:rsid w:val="002E52B9"/>
    <w:rsid w:val="00307130"/>
    <w:rsid w:val="00313760"/>
    <w:rsid w:val="0031461F"/>
    <w:rsid w:val="0031793A"/>
    <w:rsid w:val="00326C06"/>
    <w:rsid w:val="00327975"/>
    <w:rsid w:val="00332B58"/>
    <w:rsid w:val="003332D4"/>
    <w:rsid w:val="00334CA6"/>
    <w:rsid w:val="00334F13"/>
    <w:rsid w:val="00336A26"/>
    <w:rsid w:val="00337FFA"/>
    <w:rsid w:val="0034057F"/>
    <w:rsid w:val="003451B1"/>
    <w:rsid w:val="003469F1"/>
    <w:rsid w:val="00354076"/>
    <w:rsid w:val="003633E9"/>
    <w:rsid w:val="00373AAB"/>
    <w:rsid w:val="003813B5"/>
    <w:rsid w:val="003A2158"/>
    <w:rsid w:val="003A3605"/>
    <w:rsid w:val="003A4B20"/>
    <w:rsid w:val="003A7655"/>
    <w:rsid w:val="003B110D"/>
    <w:rsid w:val="003B3332"/>
    <w:rsid w:val="003C466A"/>
    <w:rsid w:val="003E5E1C"/>
    <w:rsid w:val="003F0B05"/>
    <w:rsid w:val="003F0FCF"/>
    <w:rsid w:val="003F26EF"/>
    <w:rsid w:val="003F2EB5"/>
    <w:rsid w:val="00412940"/>
    <w:rsid w:val="00412C2C"/>
    <w:rsid w:val="004135B8"/>
    <w:rsid w:val="0041397E"/>
    <w:rsid w:val="004152BD"/>
    <w:rsid w:val="0042297D"/>
    <w:rsid w:val="00424ADF"/>
    <w:rsid w:val="00425840"/>
    <w:rsid w:val="004353B6"/>
    <w:rsid w:val="004430DE"/>
    <w:rsid w:val="004522AE"/>
    <w:rsid w:val="00461267"/>
    <w:rsid w:val="004671F4"/>
    <w:rsid w:val="00475EDE"/>
    <w:rsid w:val="0047760D"/>
    <w:rsid w:val="00485E68"/>
    <w:rsid w:val="004954F4"/>
    <w:rsid w:val="004A0B4C"/>
    <w:rsid w:val="004A35D7"/>
    <w:rsid w:val="004C0ACA"/>
    <w:rsid w:val="004C27C7"/>
    <w:rsid w:val="004C75F0"/>
    <w:rsid w:val="004D071F"/>
    <w:rsid w:val="004D2CAB"/>
    <w:rsid w:val="004D7DEC"/>
    <w:rsid w:val="004E501D"/>
    <w:rsid w:val="004F3B3F"/>
    <w:rsid w:val="00500156"/>
    <w:rsid w:val="0050118D"/>
    <w:rsid w:val="00501369"/>
    <w:rsid w:val="005047DF"/>
    <w:rsid w:val="00513D89"/>
    <w:rsid w:val="005221DF"/>
    <w:rsid w:val="005245EB"/>
    <w:rsid w:val="00527573"/>
    <w:rsid w:val="00527733"/>
    <w:rsid w:val="00556386"/>
    <w:rsid w:val="005716BE"/>
    <w:rsid w:val="00572F8B"/>
    <w:rsid w:val="0057357E"/>
    <w:rsid w:val="00577B4E"/>
    <w:rsid w:val="0058186C"/>
    <w:rsid w:val="005909CA"/>
    <w:rsid w:val="00593425"/>
    <w:rsid w:val="005A3931"/>
    <w:rsid w:val="005A5166"/>
    <w:rsid w:val="005A5DB3"/>
    <w:rsid w:val="005B36F8"/>
    <w:rsid w:val="005B5C06"/>
    <w:rsid w:val="005C112F"/>
    <w:rsid w:val="005C45FE"/>
    <w:rsid w:val="005C724D"/>
    <w:rsid w:val="005E769A"/>
    <w:rsid w:val="005F4C5F"/>
    <w:rsid w:val="005F51B5"/>
    <w:rsid w:val="005F5649"/>
    <w:rsid w:val="0061120C"/>
    <w:rsid w:val="006121F9"/>
    <w:rsid w:val="0061580C"/>
    <w:rsid w:val="0061652C"/>
    <w:rsid w:val="00617ADD"/>
    <w:rsid w:val="00623B47"/>
    <w:rsid w:val="006266D7"/>
    <w:rsid w:val="00630A02"/>
    <w:rsid w:val="00635FC1"/>
    <w:rsid w:val="006404AD"/>
    <w:rsid w:val="00641268"/>
    <w:rsid w:val="00643CBE"/>
    <w:rsid w:val="006520DC"/>
    <w:rsid w:val="00656CEB"/>
    <w:rsid w:val="00670A6F"/>
    <w:rsid w:val="006716EC"/>
    <w:rsid w:val="0067632B"/>
    <w:rsid w:val="00677926"/>
    <w:rsid w:val="00680324"/>
    <w:rsid w:val="00680C4A"/>
    <w:rsid w:val="006A02A7"/>
    <w:rsid w:val="006A0D77"/>
    <w:rsid w:val="006A31E8"/>
    <w:rsid w:val="006A5B01"/>
    <w:rsid w:val="006A7F35"/>
    <w:rsid w:val="006B3999"/>
    <w:rsid w:val="006C6432"/>
    <w:rsid w:val="006D3109"/>
    <w:rsid w:val="006E0A7C"/>
    <w:rsid w:val="006E2B24"/>
    <w:rsid w:val="006F1591"/>
    <w:rsid w:val="006F22BB"/>
    <w:rsid w:val="006F3213"/>
    <w:rsid w:val="006F5E45"/>
    <w:rsid w:val="006F65CD"/>
    <w:rsid w:val="0070365F"/>
    <w:rsid w:val="007043AD"/>
    <w:rsid w:val="00706396"/>
    <w:rsid w:val="00716CCC"/>
    <w:rsid w:val="00723658"/>
    <w:rsid w:val="007249A3"/>
    <w:rsid w:val="00726C30"/>
    <w:rsid w:val="00761602"/>
    <w:rsid w:val="00763FCF"/>
    <w:rsid w:val="00767400"/>
    <w:rsid w:val="00770D99"/>
    <w:rsid w:val="00782AB3"/>
    <w:rsid w:val="00782B02"/>
    <w:rsid w:val="00791BBA"/>
    <w:rsid w:val="00796BD3"/>
    <w:rsid w:val="007A104E"/>
    <w:rsid w:val="007A53C2"/>
    <w:rsid w:val="007A55AA"/>
    <w:rsid w:val="007B38C0"/>
    <w:rsid w:val="007C27EF"/>
    <w:rsid w:val="007C28AE"/>
    <w:rsid w:val="007D0B3D"/>
    <w:rsid w:val="007D0C6E"/>
    <w:rsid w:val="007D0F18"/>
    <w:rsid w:val="007D2149"/>
    <w:rsid w:val="007D4772"/>
    <w:rsid w:val="007D4F0E"/>
    <w:rsid w:val="007E43EB"/>
    <w:rsid w:val="007F66FC"/>
    <w:rsid w:val="00801A22"/>
    <w:rsid w:val="00804384"/>
    <w:rsid w:val="008078EA"/>
    <w:rsid w:val="008116B9"/>
    <w:rsid w:val="00820526"/>
    <w:rsid w:val="008245DF"/>
    <w:rsid w:val="008319F7"/>
    <w:rsid w:val="008525B5"/>
    <w:rsid w:val="0086614B"/>
    <w:rsid w:val="008801F8"/>
    <w:rsid w:val="00885849"/>
    <w:rsid w:val="00887295"/>
    <w:rsid w:val="0088795F"/>
    <w:rsid w:val="00887A72"/>
    <w:rsid w:val="00887B21"/>
    <w:rsid w:val="00887BE1"/>
    <w:rsid w:val="008A5445"/>
    <w:rsid w:val="008B14D9"/>
    <w:rsid w:val="008B1B3F"/>
    <w:rsid w:val="008B35FD"/>
    <w:rsid w:val="008C3A73"/>
    <w:rsid w:val="008D5668"/>
    <w:rsid w:val="008F121D"/>
    <w:rsid w:val="009028FC"/>
    <w:rsid w:val="00917197"/>
    <w:rsid w:val="00917C76"/>
    <w:rsid w:val="00932995"/>
    <w:rsid w:val="0094489C"/>
    <w:rsid w:val="009467C1"/>
    <w:rsid w:val="009530AC"/>
    <w:rsid w:val="00955712"/>
    <w:rsid w:val="00984807"/>
    <w:rsid w:val="009A3B13"/>
    <w:rsid w:val="009A4922"/>
    <w:rsid w:val="009A5718"/>
    <w:rsid w:val="009B09A1"/>
    <w:rsid w:val="009C7F0C"/>
    <w:rsid w:val="009D31B5"/>
    <w:rsid w:val="009D6057"/>
    <w:rsid w:val="009D6D24"/>
    <w:rsid w:val="009D759C"/>
    <w:rsid w:val="009F7B03"/>
    <w:rsid w:val="00A1073D"/>
    <w:rsid w:val="00A173C3"/>
    <w:rsid w:val="00A21DF1"/>
    <w:rsid w:val="00A25EC6"/>
    <w:rsid w:val="00A37894"/>
    <w:rsid w:val="00A470DA"/>
    <w:rsid w:val="00A5476C"/>
    <w:rsid w:val="00A57397"/>
    <w:rsid w:val="00A71AA2"/>
    <w:rsid w:val="00A724DB"/>
    <w:rsid w:val="00A76D90"/>
    <w:rsid w:val="00A8196A"/>
    <w:rsid w:val="00A91F07"/>
    <w:rsid w:val="00AA08A3"/>
    <w:rsid w:val="00AA32C8"/>
    <w:rsid w:val="00AA42E2"/>
    <w:rsid w:val="00AA51AC"/>
    <w:rsid w:val="00AA625C"/>
    <w:rsid w:val="00AC0F1F"/>
    <w:rsid w:val="00AC30CD"/>
    <w:rsid w:val="00AC3EB1"/>
    <w:rsid w:val="00AC40BC"/>
    <w:rsid w:val="00AC5A56"/>
    <w:rsid w:val="00AE62B3"/>
    <w:rsid w:val="00AF3BAA"/>
    <w:rsid w:val="00AF4F94"/>
    <w:rsid w:val="00B018F4"/>
    <w:rsid w:val="00B05A66"/>
    <w:rsid w:val="00B10108"/>
    <w:rsid w:val="00B23BE7"/>
    <w:rsid w:val="00B24D46"/>
    <w:rsid w:val="00B277EE"/>
    <w:rsid w:val="00B3172B"/>
    <w:rsid w:val="00B40A51"/>
    <w:rsid w:val="00B41A17"/>
    <w:rsid w:val="00B47B9E"/>
    <w:rsid w:val="00B60B34"/>
    <w:rsid w:val="00B60F18"/>
    <w:rsid w:val="00B66330"/>
    <w:rsid w:val="00B70047"/>
    <w:rsid w:val="00B72081"/>
    <w:rsid w:val="00B74F35"/>
    <w:rsid w:val="00B844B2"/>
    <w:rsid w:val="00B867D3"/>
    <w:rsid w:val="00B94BF4"/>
    <w:rsid w:val="00BB63ED"/>
    <w:rsid w:val="00BB6871"/>
    <w:rsid w:val="00BC5BF1"/>
    <w:rsid w:val="00BC7888"/>
    <w:rsid w:val="00BD1410"/>
    <w:rsid w:val="00BE6D4A"/>
    <w:rsid w:val="00BF3E26"/>
    <w:rsid w:val="00C1270E"/>
    <w:rsid w:val="00C12F42"/>
    <w:rsid w:val="00C32FAE"/>
    <w:rsid w:val="00C50491"/>
    <w:rsid w:val="00C504FE"/>
    <w:rsid w:val="00C5175D"/>
    <w:rsid w:val="00C51BD1"/>
    <w:rsid w:val="00C555AA"/>
    <w:rsid w:val="00C6117F"/>
    <w:rsid w:val="00C65846"/>
    <w:rsid w:val="00C927C6"/>
    <w:rsid w:val="00C94A3A"/>
    <w:rsid w:val="00C9611D"/>
    <w:rsid w:val="00C9631C"/>
    <w:rsid w:val="00C97F0F"/>
    <w:rsid w:val="00CA0421"/>
    <w:rsid w:val="00CA1060"/>
    <w:rsid w:val="00CA74E6"/>
    <w:rsid w:val="00CB722C"/>
    <w:rsid w:val="00CC1DB4"/>
    <w:rsid w:val="00CC29C0"/>
    <w:rsid w:val="00CC2AA5"/>
    <w:rsid w:val="00CD4DE1"/>
    <w:rsid w:val="00CD503D"/>
    <w:rsid w:val="00CE79F9"/>
    <w:rsid w:val="00CF0DDC"/>
    <w:rsid w:val="00CF61BD"/>
    <w:rsid w:val="00D0144D"/>
    <w:rsid w:val="00D207DC"/>
    <w:rsid w:val="00D2593C"/>
    <w:rsid w:val="00D438FA"/>
    <w:rsid w:val="00D51F84"/>
    <w:rsid w:val="00D63EAA"/>
    <w:rsid w:val="00D67396"/>
    <w:rsid w:val="00D67DC6"/>
    <w:rsid w:val="00D74C0C"/>
    <w:rsid w:val="00D77BA0"/>
    <w:rsid w:val="00D82928"/>
    <w:rsid w:val="00D93FBB"/>
    <w:rsid w:val="00D94DDE"/>
    <w:rsid w:val="00DA2B95"/>
    <w:rsid w:val="00DA3323"/>
    <w:rsid w:val="00DA7E0C"/>
    <w:rsid w:val="00DB5B10"/>
    <w:rsid w:val="00DB5DCD"/>
    <w:rsid w:val="00DC29F5"/>
    <w:rsid w:val="00DC3DD3"/>
    <w:rsid w:val="00DD323B"/>
    <w:rsid w:val="00DD540B"/>
    <w:rsid w:val="00DD5F88"/>
    <w:rsid w:val="00DD60B8"/>
    <w:rsid w:val="00DE2161"/>
    <w:rsid w:val="00DE640F"/>
    <w:rsid w:val="00DE762B"/>
    <w:rsid w:val="00DF0BC1"/>
    <w:rsid w:val="00DF5688"/>
    <w:rsid w:val="00DF7B4E"/>
    <w:rsid w:val="00E0195F"/>
    <w:rsid w:val="00E105C4"/>
    <w:rsid w:val="00E1527B"/>
    <w:rsid w:val="00E21E9A"/>
    <w:rsid w:val="00E3790A"/>
    <w:rsid w:val="00E37D52"/>
    <w:rsid w:val="00E516D6"/>
    <w:rsid w:val="00E55B22"/>
    <w:rsid w:val="00E60E30"/>
    <w:rsid w:val="00E6297D"/>
    <w:rsid w:val="00E70338"/>
    <w:rsid w:val="00E706C1"/>
    <w:rsid w:val="00E71E5C"/>
    <w:rsid w:val="00E74E4D"/>
    <w:rsid w:val="00E90F1F"/>
    <w:rsid w:val="00E923E3"/>
    <w:rsid w:val="00E94608"/>
    <w:rsid w:val="00EA61EB"/>
    <w:rsid w:val="00EB0EB4"/>
    <w:rsid w:val="00EB1694"/>
    <w:rsid w:val="00EC5D87"/>
    <w:rsid w:val="00EC687F"/>
    <w:rsid w:val="00EC7937"/>
    <w:rsid w:val="00ED0280"/>
    <w:rsid w:val="00EE1D54"/>
    <w:rsid w:val="00EF0763"/>
    <w:rsid w:val="00F041A4"/>
    <w:rsid w:val="00F146E4"/>
    <w:rsid w:val="00F26898"/>
    <w:rsid w:val="00F2699C"/>
    <w:rsid w:val="00F270DB"/>
    <w:rsid w:val="00F37D97"/>
    <w:rsid w:val="00F402F2"/>
    <w:rsid w:val="00F618FF"/>
    <w:rsid w:val="00F67B88"/>
    <w:rsid w:val="00F70686"/>
    <w:rsid w:val="00F87848"/>
    <w:rsid w:val="00F931A5"/>
    <w:rsid w:val="00F9559A"/>
    <w:rsid w:val="00F957A8"/>
    <w:rsid w:val="00FA2719"/>
    <w:rsid w:val="00FB34BD"/>
    <w:rsid w:val="00FD2ADB"/>
    <w:rsid w:val="00FD6574"/>
    <w:rsid w:val="00FE7EB8"/>
    <w:rsid w:val="00FF0E9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4A12F"/>
  <w15:chartTrackingRefBased/>
  <w15:docId w15:val="{38C07318-ECA7-4A41-8B3B-B406A0F6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D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A62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56CE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CE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56C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0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324"/>
  </w:style>
  <w:style w:type="paragraph" w:styleId="Footer">
    <w:name w:val="footer"/>
    <w:basedOn w:val="Normal"/>
    <w:link w:val="FooterChar"/>
    <w:uiPriority w:val="99"/>
    <w:unhideWhenUsed/>
    <w:rsid w:val="00680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324"/>
  </w:style>
  <w:style w:type="paragraph" w:styleId="ListParagraph">
    <w:name w:val="List Paragraph"/>
    <w:basedOn w:val="Normal"/>
    <w:uiPriority w:val="1"/>
    <w:qFormat/>
    <w:rsid w:val="0034057F"/>
    <w:pPr>
      <w:ind w:left="720"/>
      <w:contextualSpacing/>
    </w:pPr>
  </w:style>
  <w:style w:type="table" w:styleId="TableGrid">
    <w:name w:val="Table Grid"/>
    <w:basedOn w:val="TableNormal"/>
    <w:uiPriority w:val="39"/>
    <w:rsid w:val="0015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F4F9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4F94"/>
    <w:rPr>
      <w:rFonts w:eastAsiaTheme="minorEastAsia"/>
      <w:lang w:val="en-US"/>
    </w:rPr>
  </w:style>
  <w:style w:type="paragraph" w:styleId="BodyText">
    <w:name w:val="Body Text"/>
    <w:basedOn w:val="Normal"/>
    <w:link w:val="BodyTextChar"/>
    <w:uiPriority w:val="1"/>
    <w:qFormat/>
    <w:rsid w:val="00B72081"/>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B72081"/>
    <w:rPr>
      <w:rFonts w:ascii="Calibri" w:eastAsia="Calibri" w:hAnsi="Calibri" w:cs="Calibri"/>
      <w:sz w:val="24"/>
      <w:szCs w:val="24"/>
      <w:lang w:eastAsia="en-GB" w:bidi="en-GB"/>
    </w:rPr>
  </w:style>
  <w:style w:type="character" w:customStyle="1" w:styleId="Heading3Char">
    <w:name w:val="Heading 3 Char"/>
    <w:basedOn w:val="DefaultParagraphFont"/>
    <w:link w:val="Heading3"/>
    <w:uiPriority w:val="9"/>
    <w:semiHidden/>
    <w:rsid w:val="00AA625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nhideWhenUsed/>
    <w:rsid w:val="00AA625C"/>
    <w:rPr>
      <w:color w:val="0563C1" w:themeColor="hyperlink"/>
      <w:u w:val="single"/>
    </w:rPr>
  </w:style>
  <w:style w:type="paragraph" w:styleId="BalloonText">
    <w:name w:val="Balloon Text"/>
    <w:basedOn w:val="Normal"/>
    <w:link w:val="BalloonTextChar"/>
    <w:uiPriority w:val="99"/>
    <w:semiHidden/>
    <w:unhideWhenUsed/>
    <w:rsid w:val="00527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33"/>
    <w:rPr>
      <w:rFonts w:ascii="Segoe UI" w:hAnsi="Segoe UI" w:cs="Segoe UI"/>
      <w:sz w:val="18"/>
      <w:szCs w:val="18"/>
    </w:rPr>
  </w:style>
  <w:style w:type="paragraph" w:customStyle="1" w:styleId="Default">
    <w:name w:val="Default"/>
    <w:rsid w:val="005B36F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05A66"/>
    <w:rPr>
      <w:color w:val="605E5C"/>
      <w:shd w:val="clear" w:color="auto" w:fill="E1DFDD"/>
    </w:rPr>
  </w:style>
  <w:style w:type="character" w:styleId="FollowedHyperlink">
    <w:name w:val="FollowedHyperlink"/>
    <w:basedOn w:val="DefaultParagraphFont"/>
    <w:uiPriority w:val="99"/>
    <w:semiHidden/>
    <w:unhideWhenUsed/>
    <w:rsid w:val="00461267"/>
    <w:rPr>
      <w:color w:val="954F72" w:themeColor="followedHyperlink"/>
      <w:u w:val="single"/>
    </w:rPr>
  </w:style>
  <w:style w:type="character" w:customStyle="1" w:styleId="Heading1Char">
    <w:name w:val="Heading 1 Char"/>
    <w:basedOn w:val="DefaultParagraphFont"/>
    <w:link w:val="Heading1"/>
    <w:uiPriority w:val="9"/>
    <w:rsid w:val="009D6D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32752">
      <w:bodyDiv w:val="1"/>
      <w:marLeft w:val="0"/>
      <w:marRight w:val="0"/>
      <w:marTop w:val="0"/>
      <w:marBottom w:val="0"/>
      <w:divBdr>
        <w:top w:val="none" w:sz="0" w:space="0" w:color="auto"/>
        <w:left w:val="none" w:sz="0" w:space="0" w:color="auto"/>
        <w:bottom w:val="none" w:sz="0" w:space="0" w:color="auto"/>
        <w:right w:val="none" w:sz="0" w:space="0" w:color="auto"/>
      </w:divBdr>
      <w:divsChild>
        <w:div w:id="1393888642">
          <w:marLeft w:val="0"/>
          <w:marRight w:val="0"/>
          <w:marTop w:val="0"/>
          <w:marBottom w:val="0"/>
          <w:divBdr>
            <w:top w:val="none" w:sz="0" w:space="0" w:color="auto"/>
            <w:left w:val="none" w:sz="0" w:space="0" w:color="auto"/>
            <w:bottom w:val="none" w:sz="0" w:space="0" w:color="auto"/>
            <w:right w:val="none" w:sz="0" w:space="0" w:color="auto"/>
          </w:divBdr>
          <w:divsChild>
            <w:div w:id="1869099457">
              <w:marLeft w:val="0"/>
              <w:marRight w:val="0"/>
              <w:marTop w:val="0"/>
              <w:marBottom w:val="0"/>
              <w:divBdr>
                <w:top w:val="none" w:sz="0" w:space="0" w:color="auto"/>
                <w:left w:val="none" w:sz="0" w:space="0" w:color="auto"/>
                <w:bottom w:val="none" w:sz="0" w:space="0" w:color="auto"/>
                <w:right w:val="none" w:sz="0" w:space="0" w:color="auto"/>
              </w:divBdr>
              <w:divsChild>
                <w:div w:id="1922831621">
                  <w:marLeft w:val="0"/>
                  <w:marRight w:val="0"/>
                  <w:marTop w:val="0"/>
                  <w:marBottom w:val="0"/>
                  <w:divBdr>
                    <w:top w:val="none" w:sz="0" w:space="0" w:color="auto"/>
                    <w:left w:val="none" w:sz="0" w:space="0" w:color="auto"/>
                    <w:bottom w:val="none" w:sz="0" w:space="0" w:color="auto"/>
                    <w:right w:val="none" w:sz="0" w:space="0" w:color="auto"/>
                  </w:divBdr>
                  <w:divsChild>
                    <w:div w:id="214853108">
                      <w:marLeft w:val="0"/>
                      <w:marRight w:val="0"/>
                      <w:marTop w:val="0"/>
                      <w:marBottom w:val="0"/>
                      <w:divBdr>
                        <w:top w:val="none" w:sz="0" w:space="0" w:color="auto"/>
                        <w:left w:val="none" w:sz="0" w:space="0" w:color="auto"/>
                        <w:bottom w:val="none" w:sz="0" w:space="0" w:color="auto"/>
                        <w:right w:val="none" w:sz="0" w:space="0" w:color="auto"/>
                      </w:divBdr>
                      <w:divsChild>
                        <w:div w:id="2115591151">
                          <w:marLeft w:val="0"/>
                          <w:marRight w:val="0"/>
                          <w:marTop w:val="0"/>
                          <w:marBottom w:val="0"/>
                          <w:divBdr>
                            <w:top w:val="none" w:sz="0" w:space="0" w:color="auto"/>
                            <w:left w:val="none" w:sz="0" w:space="0" w:color="auto"/>
                            <w:bottom w:val="none" w:sz="0" w:space="0" w:color="auto"/>
                            <w:right w:val="none" w:sz="0" w:space="0" w:color="auto"/>
                          </w:divBdr>
                          <w:divsChild>
                            <w:div w:id="510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org.uk/safeguarding/adults/practice/sharing-information" TargetMode="External"/><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hyperlink" Target="http://www.nmc.org.uk"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psychotherapy.org.uk/registers-standards/" TargetMode="External"/><Relationship Id="rId7" Type="http://schemas.openxmlformats.org/officeDocument/2006/relationships/image" Target="media/image1.jpeg"/><Relationship Id="rId12" Type="http://schemas.openxmlformats.org/officeDocument/2006/relationships/hyperlink" Target="https://www.gov.uk/government/organisations/disclosure-and-barring-service" TargetMode="External"/><Relationship Id="rId17" Type="http://schemas.openxmlformats.org/officeDocument/2006/relationships/hyperlink" Target="http://www.hcpc-uk.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collections/dbs-referrals-guidance--2" TargetMode="External"/><Relationship Id="rId20" Type="http://schemas.openxmlformats.org/officeDocument/2006/relationships/hyperlink" Target="http://www.gdc-u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ssets.production.copweb.aws.college.police.uk/s3fs-public/2022-04/NPCC-2017-Common-Law-Police-Disclosures-CLPD-%E2%80%93-Provisions-to-supersede-the-Notifiable-Occupations-Scheme-NOS.pdf" TargetMode="External"/><Relationship Id="rId23" Type="http://schemas.openxmlformats.org/officeDocument/2006/relationships/hyperlink" Target="mailto:safeguardingadults@enfield.gov.uk" TargetMode="External"/><Relationship Id="rId10" Type="http://schemas.openxmlformats.org/officeDocument/2006/relationships/hyperlink" Target="http://www.legislation.gov.uk/ukpga/1998/29/contents" TargetMode="External"/><Relationship Id="rId19" Type="http://schemas.openxmlformats.org/officeDocument/2006/relationships/hyperlink" Target="http://www.gmc-uk.org" TargetMode="External"/><Relationship Id="rId4" Type="http://schemas.openxmlformats.org/officeDocument/2006/relationships/webSettings" Target="webSettings.xml"/><Relationship Id="rId9" Type="http://schemas.openxmlformats.org/officeDocument/2006/relationships/hyperlink" Target="mailto:safeguardingadults@enfield.gov.uk" TargetMode="External"/><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 Id="rId22" Type="http://schemas.openxmlformats.org/officeDocument/2006/relationships/hyperlink" Target="https://cqc.org.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A7D3E34DBC4DBA97B299A2D3CED081"/>
        <w:category>
          <w:name w:val="General"/>
          <w:gallery w:val="placeholder"/>
        </w:category>
        <w:types>
          <w:type w:val="bbPlcHdr"/>
        </w:types>
        <w:behaviors>
          <w:behavior w:val="content"/>
        </w:behaviors>
        <w:guid w:val="{31443D59-EA02-42B0-9C0B-47C74903F398}"/>
      </w:docPartPr>
      <w:docPartBody>
        <w:p w:rsidR="0067002E" w:rsidRDefault="004E1719" w:rsidP="004E1719">
          <w:pPr>
            <w:pStyle w:val="39A7D3E34DBC4DBA97B299A2D3CED081"/>
          </w:pPr>
          <w:r>
            <w:rPr>
              <w:rFonts w:asciiTheme="majorHAnsi" w:hAnsiTheme="majorHAns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19"/>
    <w:rsid w:val="000E5059"/>
    <w:rsid w:val="00192A09"/>
    <w:rsid w:val="001A138A"/>
    <w:rsid w:val="0028307A"/>
    <w:rsid w:val="004E1719"/>
    <w:rsid w:val="005B5826"/>
    <w:rsid w:val="0067002E"/>
    <w:rsid w:val="00723A39"/>
    <w:rsid w:val="008C777D"/>
    <w:rsid w:val="009E2A9C"/>
    <w:rsid w:val="00BA6C83"/>
    <w:rsid w:val="00DD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A7D3E34DBC4DBA97B299A2D3CED081">
    <w:name w:val="39A7D3E34DBC4DBA97B299A2D3CED081"/>
    <w:rsid w:val="004E1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4264</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document provides the Enfield Safeguarding Adults Board protocol and practice guides for the approach and process to be followed when responding to allegations relating to people who work in a Position of Trust with adults who have care and support needs. This protocol relates to the requirements of section 14 of the Care and Support Statutory Guidance of the Care Act 2014.</dc:subject>
  <dc:creator>Helen Tapfumaneyi</dc:creator>
  <cp:keywords/>
  <dc:description/>
  <cp:lastModifiedBy>Josh Somma</cp:lastModifiedBy>
  <cp:revision>4</cp:revision>
  <cp:lastPrinted>2019-01-29T13:00:00Z</cp:lastPrinted>
  <dcterms:created xsi:type="dcterms:W3CDTF">2020-11-19T16:19:00Z</dcterms:created>
  <dcterms:modified xsi:type="dcterms:W3CDTF">2024-02-27T12:16:00Z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4c3615-41c5-4b89-b528-23679be2a629_Enabled">
    <vt:lpwstr>true</vt:lpwstr>
  </property>
  <property fmtid="{D5CDD505-2E9C-101B-9397-08002B2CF9AE}" pid="3" name="MSIP_Label_654c3615-41c5-4b89-b528-23679be2a629_SetDate">
    <vt:lpwstr>2024-02-27T12:16:50Z</vt:lpwstr>
  </property>
  <property fmtid="{D5CDD505-2E9C-101B-9397-08002B2CF9AE}" pid="4" name="MSIP_Label_654c3615-41c5-4b89-b528-23679be2a629_Method">
    <vt:lpwstr>Privileged</vt:lpwstr>
  </property>
  <property fmtid="{D5CDD505-2E9C-101B-9397-08002B2CF9AE}" pid="5" name="MSIP_Label_654c3615-41c5-4b89-b528-23679be2a629_Name">
    <vt:lpwstr>654c3615-41c5-4b89-b528-23679be2a629</vt:lpwstr>
  </property>
  <property fmtid="{D5CDD505-2E9C-101B-9397-08002B2CF9AE}" pid="6" name="MSIP_Label_654c3615-41c5-4b89-b528-23679be2a629_SiteId">
    <vt:lpwstr>cc18b91d-1bb2-4d9b-ac76-7a4447488d49</vt:lpwstr>
  </property>
  <property fmtid="{D5CDD505-2E9C-101B-9397-08002B2CF9AE}" pid="7" name="MSIP_Label_654c3615-41c5-4b89-b528-23679be2a629_ActionId">
    <vt:lpwstr>aa998c94-af17-47f4-9d8d-c5095a575eed</vt:lpwstr>
  </property>
  <property fmtid="{D5CDD505-2E9C-101B-9397-08002B2CF9AE}" pid="8" name="MSIP_Label_654c3615-41c5-4b89-b528-23679be2a629_ContentBits">
    <vt:lpwstr>0</vt:lpwstr>
  </property>
</Properties>
</file>